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74B8E" w14:textId="105842C1" w:rsidR="00842362" w:rsidRDefault="00842362">
      <w:pPr>
        <w:pStyle w:val="Heading1"/>
        <w:rPr>
          <w:rFonts w:ascii="Avenir Book" w:hAnsi="Avenir Book"/>
          <w:color w:val="000000" w:themeColor="text1"/>
        </w:rPr>
      </w:pPr>
      <w:r>
        <w:rPr>
          <w:rFonts w:ascii="Avenir Book" w:hAnsi="Avenir Book"/>
          <w:color w:val="000000" w:themeColor="text1"/>
        </w:rPr>
        <w:t xml:space="preserve">                                                      </w:t>
      </w:r>
      <w:r>
        <w:rPr>
          <w:rFonts w:ascii="Avenir Book" w:hAnsi="Avenir Book"/>
          <w:noProof/>
          <w:color w:val="000000" w:themeColor="text1"/>
        </w:rPr>
        <w:drawing>
          <wp:inline distT="0" distB="0" distL="0" distR="0" wp14:anchorId="6E185615" wp14:editId="62842DCF">
            <wp:extent cx="2767264" cy="756834"/>
            <wp:effectExtent l="0" t="0" r="1905" b="0"/>
            <wp:docPr id="160513294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132942" name="Picture 1" descr="A black background with a black square&#10;&#10;Description automatically generated with medium confidence"/>
                    <pic:cNvPicPr/>
                  </pic:nvPicPr>
                  <pic:blipFill>
                    <a:blip r:embed="rId6"/>
                    <a:stretch>
                      <a:fillRect/>
                    </a:stretch>
                  </pic:blipFill>
                  <pic:spPr>
                    <a:xfrm>
                      <a:off x="0" y="0"/>
                      <a:ext cx="2832384" cy="774644"/>
                    </a:xfrm>
                    <a:prstGeom prst="rect">
                      <a:avLst/>
                    </a:prstGeom>
                  </pic:spPr>
                </pic:pic>
              </a:graphicData>
            </a:graphic>
          </wp:inline>
        </w:drawing>
      </w:r>
    </w:p>
    <w:p w14:paraId="35B55F18" w14:textId="4AE26FC9" w:rsidR="00397293" w:rsidRPr="00761F0D" w:rsidRDefault="00000000">
      <w:pPr>
        <w:pStyle w:val="Heading1"/>
        <w:rPr>
          <w:rFonts w:ascii="Avenir Book" w:hAnsi="Avenir Book"/>
          <w:color w:val="000000" w:themeColor="text1"/>
        </w:rPr>
      </w:pPr>
      <w:r w:rsidRPr="00761F0D">
        <w:rPr>
          <w:rFonts w:ascii="Avenir Book" w:hAnsi="Avenir Book"/>
          <w:color w:val="000000" w:themeColor="text1"/>
        </w:rPr>
        <w:t xml:space="preserve">Sustainability </w:t>
      </w:r>
      <w:r w:rsidR="00761F0D" w:rsidRPr="00761F0D">
        <w:rPr>
          <w:rFonts w:ascii="Avenir Book" w:hAnsi="Avenir Book"/>
          <w:color w:val="000000" w:themeColor="text1"/>
        </w:rPr>
        <w:t>Best Practices,</w:t>
      </w:r>
      <w:r w:rsidRPr="00761F0D">
        <w:rPr>
          <w:rFonts w:ascii="Avenir Book" w:hAnsi="Avenir Book"/>
          <w:color w:val="000000" w:themeColor="text1"/>
        </w:rPr>
        <w:t xml:space="preserve"> </w:t>
      </w:r>
      <w:r w:rsidR="00761F0D" w:rsidRPr="00761F0D">
        <w:rPr>
          <w:rFonts w:ascii="Avenir Book" w:hAnsi="Avenir Book"/>
          <w:color w:val="000000" w:themeColor="text1"/>
        </w:rPr>
        <w:t>with</w:t>
      </w:r>
      <w:r w:rsidRPr="00761F0D">
        <w:rPr>
          <w:rFonts w:ascii="Avenir Book" w:hAnsi="Avenir Book"/>
          <w:color w:val="000000" w:themeColor="text1"/>
        </w:rPr>
        <w:t xml:space="preserve"> Jennifer Gootman at Tory Burch</w:t>
      </w:r>
    </w:p>
    <w:p w14:paraId="6299817F" w14:textId="41362249" w:rsidR="00761F0D" w:rsidRPr="00761F0D" w:rsidRDefault="00761F0D" w:rsidP="00761F0D">
      <w:pPr>
        <w:rPr>
          <w:rFonts w:ascii="Avenir Book" w:hAnsi="Avenir Book"/>
          <w:color w:val="000000" w:themeColor="text1"/>
        </w:rPr>
      </w:pPr>
      <w:r>
        <w:rPr>
          <w:rFonts w:ascii="Avenir Book" w:hAnsi="Avenir Book"/>
          <w:color w:val="000000" w:themeColor="text1"/>
        </w:rPr>
        <w:br/>
      </w:r>
      <w:r w:rsidRPr="00761F0D">
        <w:rPr>
          <w:rFonts w:ascii="Avenir Book" w:hAnsi="Avenir Book"/>
          <w:color w:val="000000" w:themeColor="text1"/>
        </w:rPr>
        <w:t>Here are ten highlights from Jennifer Gootman's discussion on sustainability at Tory Burch, with a focus on her innovative approaches and strategies</w:t>
      </w:r>
      <w:r>
        <w:rPr>
          <w:rFonts w:ascii="Avenir Book" w:hAnsi="Avenir Book"/>
          <w:color w:val="000000" w:themeColor="text1"/>
        </w:rPr>
        <w:t>. This InnoLead members meeting took place on December 6, 2024.</w:t>
      </w:r>
    </w:p>
    <w:p w14:paraId="0A0DE8F9"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Building from Scratch</w:t>
      </w:r>
    </w:p>
    <w:p w14:paraId="52AF5659" w14:textId="6B00302D" w:rsidR="00397293" w:rsidRPr="00761F0D" w:rsidRDefault="00761F0D">
      <w:pPr>
        <w:rPr>
          <w:rFonts w:ascii="Avenir Book" w:hAnsi="Avenir Book"/>
          <w:color w:val="000000" w:themeColor="text1"/>
        </w:rPr>
      </w:pPr>
      <w:r>
        <w:rPr>
          <w:rFonts w:ascii="Avenir Book" w:hAnsi="Avenir Book"/>
          <w:color w:val="000000" w:themeColor="text1"/>
        </w:rPr>
        <w:t>Gootman</w:t>
      </w:r>
      <w:r w:rsidR="00000000" w:rsidRPr="00761F0D">
        <w:rPr>
          <w:rFonts w:ascii="Avenir Book" w:hAnsi="Avenir Book"/>
          <w:color w:val="000000" w:themeColor="text1"/>
        </w:rPr>
        <w:t xml:space="preserve"> highlighted that she is the first in her role at Tory Burch, building the entire sustainability and ESG function from scratch. She advises sustainability leaders to align their work with core business values and focus on embedding sustainability into everyday processes rather than treating it as a standalone initiative.</w:t>
      </w:r>
    </w:p>
    <w:p w14:paraId="2B906F85"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"I Call Everything a Pilot"</w:t>
      </w:r>
    </w:p>
    <w:p w14:paraId="5F131D54"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Gootman recommends framing new initiatives as pilots to reduce resistance and foster adoption. She stated: "I call everything a pilot, because people aren't scared of pilots, but they’re scared of taking new things on," advising sustainability leaders to use this approach to encourage experimentation and gradual scaling.</w:t>
      </w:r>
    </w:p>
    <w:p w14:paraId="7B58FB73"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Understand Supply Chain Complexity</w:t>
      </w:r>
    </w:p>
    <w:p w14:paraId="1FB3661D"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Gootman described the importance of deeply understanding supply chain dynamics, including upstream and downstream impacts. She suggests building long-term partnerships with suppliers and investing time in understanding their processes to drive meaningful change collaboratively.</w:t>
      </w:r>
    </w:p>
    <w:p w14:paraId="40611943" w14:textId="262DA3C8" w:rsidR="00397293" w:rsidRPr="00761F0D" w:rsidRDefault="00761F0D">
      <w:pPr>
        <w:pStyle w:val="Heading2"/>
        <w:rPr>
          <w:rFonts w:ascii="Avenir Book" w:hAnsi="Avenir Book"/>
          <w:color w:val="000000" w:themeColor="text1"/>
        </w:rPr>
      </w:pPr>
      <w:r>
        <w:rPr>
          <w:rFonts w:ascii="Avenir Book" w:hAnsi="Avenir Book"/>
          <w:color w:val="000000" w:themeColor="text1"/>
        </w:rPr>
        <w:t>Changing Behavior is Never Easy</w:t>
      </w:r>
    </w:p>
    <w:p w14:paraId="6812F80E"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Gootman emphasized that influencing behavior within organizations is crucial but challenging. She advises sustainability professionals to focus on demonstrating the value of change, using storytelling and data to motivate teams to adopt new practices.</w:t>
      </w:r>
    </w:p>
    <w:p w14:paraId="3AC30D53"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Prioritize Material Innovation</w:t>
      </w:r>
    </w:p>
    <w:p w14:paraId="67E2F3A1"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 xml:space="preserve">Gootman highlighted the impact of transitioning to lower-impact materials like biotech alternatives to fossil fuels. She advises integrating sustainability goals with design </w:t>
      </w:r>
      <w:r w:rsidRPr="00761F0D">
        <w:rPr>
          <w:rFonts w:ascii="Avenir Book" w:hAnsi="Avenir Book"/>
          <w:color w:val="000000" w:themeColor="text1"/>
        </w:rPr>
        <w:lastRenderedPageBreak/>
        <w:t>innovation, emphasizing that new materials must align with quality and durability standards to succeed.</w:t>
      </w:r>
    </w:p>
    <w:p w14:paraId="08A95676"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Use Storytelling to Inspire Action</w:t>
      </w:r>
    </w:p>
    <w:p w14:paraId="6366A0B7"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Gootman leverages storytelling to connect teams and consumers to the origins and impacts of materials. She recommends showcasing supplier stories and the journey of products to foster deeper engagement with sustainability efforts.</w:t>
      </w:r>
    </w:p>
    <w:p w14:paraId="733080FE"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Focus on the "Nuts and Bolts"</w:t>
      </w:r>
    </w:p>
    <w:p w14:paraId="26D17B6C"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Gootman stressed the importance of addressing unglamorous but impactful aspects, like switching to more sustainable linings, threads, and edge paints. She advises prioritizing these common components to achieve significant environmental benefits across multiple products.</w:t>
      </w:r>
    </w:p>
    <w:p w14:paraId="4D78AE55"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Leverage Industry Partnerships</w:t>
      </w:r>
    </w:p>
    <w:p w14:paraId="29C4D363"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Gootman advises working closely with like-minded brands and industry groups to share resources and achieve common sustainability goals. These collaborations can amplify impact and provide support for implementing new practices across supply chains.</w:t>
      </w:r>
    </w:p>
    <w:p w14:paraId="7EEE5501"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Make Data Actionable</w:t>
      </w:r>
    </w:p>
    <w:p w14:paraId="183FF19D" w14:textId="700AAD0B" w:rsidR="00397293" w:rsidRPr="00761F0D" w:rsidRDefault="00000000">
      <w:pPr>
        <w:rPr>
          <w:rFonts w:ascii="Avenir Book" w:hAnsi="Avenir Book"/>
          <w:color w:val="000000" w:themeColor="text1"/>
        </w:rPr>
      </w:pPr>
      <w:r w:rsidRPr="00761F0D">
        <w:rPr>
          <w:rFonts w:ascii="Avenir Book" w:hAnsi="Avenir Book"/>
          <w:color w:val="000000" w:themeColor="text1"/>
        </w:rPr>
        <w:t>Gootman highlighted the importance of integrating sustainability data into financial systems</w:t>
      </w:r>
      <w:r w:rsidR="00761F0D">
        <w:rPr>
          <w:rFonts w:ascii="Avenir Book" w:hAnsi="Avenir Book"/>
          <w:color w:val="000000" w:themeColor="text1"/>
        </w:rPr>
        <w:t xml:space="preserve">, like Product Lifecycle Management, </w:t>
      </w:r>
      <w:r w:rsidRPr="00761F0D">
        <w:rPr>
          <w:rFonts w:ascii="Avenir Book" w:hAnsi="Avenir Book"/>
          <w:color w:val="000000" w:themeColor="text1"/>
        </w:rPr>
        <w:t>to build strong business cases. She recommends using this data to demonstrate cost savings and align sustainability goals with business objectives to secure buy-in.</w:t>
      </w:r>
    </w:p>
    <w:p w14:paraId="6824DD3D" w14:textId="77777777" w:rsidR="00397293" w:rsidRPr="00761F0D" w:rsidRDefault="00000000">
      <w:pPr>
        <w:pStyle w:val="Heading2"/>
        <w:rPr>
          <w:rFonts w:ascii="Avenir Book" w:hAnsi="Avenir Book"/>
          <w:color w:val="000000" w:themeColor="text1"/>
        </w:rPr>
      </w:pPr>
      <w:r w:rsidRPr="00761F0D">
        <w:rPr>
          <w:rFonts w:ascii="Avenir Book" w:hAnsi="Avenir Book"/>
          <w:color w:val="000000" w:themeColor="text1"/>
        </w:rPr>
        <w:t>Balance Authenticity with Strategy</w:t>
      </w:r>
    </w:p>
    <w:p w14:paraId="694858C1" w14:textId="77777777" w:rsidR="00397293" w:rsidRPr="00761F0D" w:rsidRDefault="00000000">
      <w:pPr>
        <w:rPr>
          <w:rFonts w:ascii="Avenir Book" w:hAnsi="Avenir Book"/>
          <w:color w:val="000000" w:themeColor="text1"/>
        </w:rPr>
      </w:pPr>
      <w:r w:rsidRPr="00761F0D">
        <w:rPr>
          <w:rFonts w:ascii="Avenir Book" w:hAnsi="Avenir Book"/>
          <w:color w:val="000000" w:themeColor="text1"/>
        </w:rPr>
        <w:t>Gootman pointed out the risks of setting unrealistic goals and advises focusing on authentic, actionable commitments. She recommends creating realistic strategies that align with the company’s capabilities and focusing on meaningful, long-term impact.</w:t>
      </w:r>
    </w:p>
    <w:sectPr w:rsidR="00397293" w:rsidRPr="00761F0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5444167">
    <w:abstractNumId w:val="8"/>
  </w:num>
  <w:num w:numId="2" w16cid:durableId="1019966325">
    <w:abstractNumId w:val="6"/>
  </w:num>
  <w:num w:numId="3" w16cid:durableId="1873305287">
    <w:abstractNumId w:val="5"/>
  </w:num>
  <w:num w:numId="4" w16cid:durableId="1457522113">
    <w:abstractNumId w:val="4"/>
  </w:num>
  <w:num w:numId="5" w16cid:durableId="1131558526">
    <w:abstractNumId w:val="7"/>
  </w:num>
  <w:num w:numId="6" w16cid:durableId="97918954">
    <w:abstractNumId w:val="3"/>
  </w:num>
  <w:num w:numId="7" w16cid:durableId="1177689657">
    <w:abstractNumId w:val="2"/>
  </w:num>
  <w:num w:numId="8" w16cid:durableId="308902947">
    <w:abstractNumId w:val="1"/>
  </w:num>
  <w:num w:numId="9" w16cid:durableId="54803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48DE"/>
    <w:rsid w:val="00397293"/>
    <w:rsid w:val="00761F0D"/>
    <w:rsid w:val="0084236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B4DEA7"/>
  <w14:defaultImageDpi w14:val="300"/>
  <w15:docId w15:val="{D76CDE2C-A922-5E45-B271-9B60D23C6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Scott Kirsner</cp:lastModifiedBy>
  <cp:revision>3</cp:revision>
  <dcterms:created xsi:type="dcterms:W3CDTF">2024-12-06T22:18:00Z</dcterms:created>
  <dcterms:modified xsi:type="dcterms:W3CDTF">2024-12-06T22:19:00Z</dcterms:modified>
  <cp:category/>
</cp:coreProperties>
</file>