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A95EC" w14:textId="77777777" w:rsidR="00B07844" w:rsidRDefault="00B07844" w:rsidP="00B07844">
      <w:pPr>
        <w:spacing w:before="100" w:beforeAutospacing="1" w:after="100" w:afterAutospacing="1" w:line="240" w:lineRule="auto"/>
        <w:jc w:val="center"/>
        <w:outlineLvl w:val="0"/>
      </w:pPr>
      <w:r>
        <w:fldChar w:fldCharType="begin"/>
      </w:r>
      <w:r>
        <w:instrText xml:space="preserve"> INCLUDEPICTURE "/Users/scottcohen/Library/Group Containers/UBF8T346G9.ms/WebArchiveCopyPasteTempFiles/com.microsoft.Word/innolead_logo_horiztonal_color_392785.png" \* MERGEFORMATINET </w:instrText>
      </w:r>
      <w:r>
        <w:fldChar w:fldCharType="separate"/>
      </w:r>
      <w:r>
        <w:rPr>
          <w:noProof/>
        </w:rPr>
        <w:drawing>
          <wp:inline distT="0" distB="0" distL="0" distR="0" wp14:anchorId="74EC3862" wp14:editId="307D937F">
            <wp:extent cx="1289099" cy="355002"/>
            <wp:effectExtent l="0" t="0" r="0" b="0"/>
            <wp:docPr id="653960626"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087" cy="364362"/>
                    </a:xfrm>
                    <a:prstGeom prst="rect">
                      <a:avLst/>
                    </a:prstGeom>
                    <a:noFill/>
                    <a:ln>
                      <a:noFill/>
                    </a:ln>
                  </pic:spPr>
                </pic:pic>
              </a:graphicData>
            </a:graphic>
          </wp:inline>
        </w:drawing>
      </w:r>
      <w:r>
        <w:fldChar w:fldCharType="end"/>
      </w:r>
    </w:p>
    <w:p w14:paraId="7BD92D29" w14:textId="05A74930" w:rsidR="00AC1E70" w:rsidRPr="00AC1E70" w:rsidRDefault="00C90FEC" w:rsidP="00B07844">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14:ligatures w14:val="none"/>
        </w:rPr>
      </w:pPr>
      <w:r>
        <w:rPr>
          <w:rFonts w:ascii="Times New Roman" w:eastAsia="Times New Roman" w:hAnsi="Times New Roman" w:cs="Times New Roman"/>
          <w:b/>
          <w:bCs/>
          <w:color w:val="000000"/>
          <w:kern w:val="36"/>
          <w:sz w:val="48"/>
          <w:szCs w:val="48"/>
          <w14:ligatures w14:val="none"/>
        </w:rPr>
        <w:t xml:space="preserve">Innovation Progress: </w:t>
      </w:r>
      <w:r w:rsidR="00A3273C">
        <w:rPr>
          <w:rFonts w:ascii="Times New Roman" w:eastAsia="Times New Roman" w:hAnsi="Times New Roman" w:cs="Times New Roman"/>
          <w:b/>
          <w:bCs/>
          <w:color w:val="000000"/>
          <w:kern w:val="36"/>
          <w:sz w:val="48"/>
          <w:szCs w:val="48"/>
          <w14:ligatures w14:val="none"/>
        </w:rPr>
        <w:t xml:space="preserve">Geopolitical </w:t>
      </w:r>
      <w:r>
        <w:rPr>
          <w:rFonts w:ascii="Times New Roman" w:eastAsia="Times New Roman" w:hAnsi="Times New Roman" w:cs="Times New Roman"/>
          <w:b/>
          <w:bCs/>
          <w:color w:val="000000"/>
          <w:kern w:val="36"/>
          <w:sz w:val="48"/>
          <w:szCs w:val="48"/>
          <w14:ligatures w14:val="none"/>
        </w:rPr>
        <w:t>Risks</w:t>
      </w:r>
    </w:p>
    <w:p w14:paraId="212CF827" w14:textId="180FC066" w:rsidR="00A3273C" w:rsidRDefault="00A3273C" w:rsidP="00A3273C">
      <w:pPr>
        <w:pStyle w:val="NormalWeb"/>
        <w:rPr>
          <w:color w:val="000000"/>
        </w:rPr>
      </w:pPr>
      <w:r>
        <w:rPr>
          <w:color w:val="000000"/>
        </w:rPr>
        <w:t>This Innovation Progress Report template is designed for Chief Innovation Officers to track and manage innovation, R&amp;D, digital, and emerging technology programs in the context of geopolitical risk. With rising tensions, sanctions, export controls, and regional instability affecting global supply chains, projects can face delays, cost increases, or regulatory barriers. By linking innovation initiatives directly to these current geopolitical realities, CIOs can proactively identify vulnerabilities, prioritize mitigation strategies, and keep high-value programs on track despite external uncertainties.</w:t>
      </w:r>
      <w:r w:rsidR="009C6B9E">
        <w:rPr>
          <w:color w:val="000000"/>
        </w:rPr>
        <w:t xml:space="preserve"> </w:t>
      </w:r>
      <w:r w:rsidR="009C6B9E" w:rsidRPr="009C6B9E">
        <w:rPr>
          <w:color w:val="000000"/>
        </w:rPr>
        <w:t>Sample data has been provided, which can be removed and replaced with your own data.</w:t>
      </w:r>
    </w:p>
    <w:p w14:paraId="116EEDEE" w14:textId="16561805" w:rsidR="00C90FEC" w:rsidRPr="00C90FEC" w:rsidRDefault="00AC1E70" w:rsidP="00C90FEC">
      <w:pPr>
        <w:pStyle w:val="Heading1"/>
        <w:rPr>
          <w:color w:val="000000"/>
          <w:sz w:val="24"/>
          <w:szCs w:val="24"/>
        </w:rPr>
      </w:pPr>
      <w:r w:rsidRPr="00C90FEC">
        <w:rPr>
          <w:rFonts w:ascii="Times New Roman" w:eastAsia="Times New Roman" w:hAnsi="Times New Roman" w:cs="Times New Roman"/>
          <w:b/>
          <w:bCs/>
          <w:color w:val="000000"/>
          <w:kern w:val="0"/>
          <w:sz w:val="24"/>
          <w:szCs w:val="24"/>
          <w14:ligatures w14:val="none"/>
        </w:rPr>
        <w:t xml:space="preserve">For: </w:t>
      </w:r>
      <w:r w:rsidRPr="00C90FEC">
        <w:rPr>
          <w:rFonts w:ascii="Times New Roman" w:eastAsia="Times New Roman" w:hAnsi="Times New Roman" w:cs="Times New Roman"/>
          <w:color w:val="000000"/>
          <w:kern w:val="0"/>
          <w:sz w:val="24"/>
          <w:szCs w:val="24"/>
          <w14:ligatures w14:val="none"/>
        </w:rPr>
        <w:t>[Company Name]</w:t>
      </w:r>
      <w:r w:rsidRPr="00C90FEC">
        <w:rPr>
          <w:rFonts w:ascii="Times New Roman" w:eastAsia="Times New Roman" w:hAnsi="Times New Roman" w:cs="Times New Roman"/>
          <w:color w:val="000000"/>
          <w:kern w:val="0"/>
          <w:sz w:val="24"/>
          <w:szCs w:val="24"/>
          <w14:ligatures w14:val="none"/>
        </w:rPr>
        <w:br/>
      </w:r>
      <w:r w:rsidRPr="00C90FEC">
        <w:rPr>
          <w:rFonts w:ascii="Times New Roman" w:eastAsia="Times New Roman" w:hAnsi="Times New Roman" w:cs="Times New Roman"/>
          <w:b/>
          <w:bCs/>
          <w:color w:val="000000"/>
          <w:kern w:val="0"/>
          <w:sz w:val="24"/>
          <w:szCs w:val="24"/>
          <w14:ligatures w14:val="none"/>
        </w:rPr>
        <w:t xml:space="preserve">Date: </w:t>
      </w:r>
      <w:r w:rsidRPr="00C90FEC">
        <w:rPr>
          <w:rFonts w:ascii="Times New Roman" w:eastAsia="Times New Roman" w:hAnsi="Times New Roman" w:cs="Times New Roman"/>
          <w:color w:val="000000"/>
          <w:kern w:val="0"/>
          <w:sz w:val="24"/>
          <w:szCs w:val="24"/>
          <w14:ligatures w14:val="none"/>
        </w:rPr>
        <w:t>[Quarter/Year]</w:t>
      </w:r>
      <w:r w:rsidR="00C90FEC" w:rsidRPr="00C90FEC">
        <w:rPr>
          <w:rStyle w:val="Strong"/>
          <w:color w:val="000000"/>
          <w:sz w:val="24"/>
          <w:szCs w:val="24"/>
        </w:rPr>
        <w:t xml:space="preserve"> </w:t>
      </w:r>
      <w:r w:rsidR="00C90FEC">
        <w:rPr>
          <w:rStyle w:val="Strong"/>
          <w:b w:val="0"/>
          <w:bCs w:val="0"/>
          <w:color w:val="000000"/>
          <w:sz w:val="24"/>
          <w:szCs w:val="24"/>
        </w:rPr>
        <w:br/>
      </w:r>
      <w:r w:rsidR="00C90FEC" w:rsidRPr="00C90FEC">
        <w:rPr>
          <w:rFonts w:ascii="Times New Roman" w:eastAsia="Times New Roman" w:hAnsi="Times New Roman" w:cs="Times New Roman"/>
          <w:b/>
          <w:bCs/>
          <w:color w:val="000000"/>
          <w:kern w:val="36"/>
          <w:sz w:val="24"/>
          <w:szCs w:val="24"/>
          <w14:ligatures w14:val="none"/>
        </w:rPr>
        <w:t xml:space="preserve">Innovation Progress Report: </w:t>
      </w:r>
      <w:r w:rsidR="00C90FEC" w:rsidRPr="00C90FEC">
        <w:rPr>
          <w:rFonts w:ascii="Times New Roman" w:eastAsia="Times New Roman" w:hAnsi="Times New Roman" w:cs="Times New Roman"/>
          <w:color w:val="000000"/>
          <w:kern w:val="36"/>
          <w:sz w:val="24"/>
          <w:szCs w:val="24"/>
          <w14:ligatures w14:val="none"/>
        </w:rPr>
        <w:t>Supply Chain Focus</w:t>
      </w:r>
    </w:p>
    <w:p w14:paraId="1561BBAB" w14:textId="77777777" w:rsidR="00C90FEC" w:rsidRPr="00C90FEC" w:rsidRDefault="0097429E" w:rsidP="00C90FEC">
      <w:pPr>
        <w:spacing w:after="0" w:line="240" w:lineRule="auto"/>
        <w:rPr>
          <w:rFonts w:ascii="Times New Roman" w:eastAsia="Times New Roman" w:hAnsi="Times New Roman" w:cs="Times New Roman"/>
          <w:kern w:val="0"/>
          <w14:ligatures w14:val="none"/>
        </w:rPr>
      </w:pPr>
      <w:r w:rsidRPr="0097429E">
        <w:rPr>
          <w:rFonts w:ascii="Times New Roman" w:eastAsia="Times New Roman" w:hAnsi="Times New Roman" w:cs="Times New Roman"/>
          <w:noProof/>
          <w:kern w:val="0"/>
        </w:rPr>
        <w:pict w14:anchorId="47A1271D">
          <v:rect id="_x0000_i1032" alt="" style="width:468pt;height:.05pt;mso-width-percent:0;mso-height-percent:0;mso-width-percent:0;mso-height-percent:0" o:hralign="center" o:hrstd="t" o:hr="t" fillcolor="#a0a0a0" stroked="f"/>
        </w:pict>
      </w:r>
    </w:p>
    <w:p w14:paraId="456A922C" w14:textId="64AE4D60" w:rsidR="00A3273C" w:rsidRPr="00A3273C" w:rsidRDefault="00A3273C" w:rsidP="00A3273C">
      <w:pPr>
        <w:pStyle w:val="Heading2"/>
        <w:rPr>
          <w:rFonts w:asciiTheme="majorBidi" w:hAnsiTheme="majorBidi"/>
          <w:b/>
          <w:bCs/>
          <w:color w:val="000000"/>
        </w:rPr>
      </w:pPr>
      <w:r w:rsidRPr="00A3273C">
        <w:rPr>
          <w:rStyle w:val="Strong"/>
          <w:rFonts w:asciiTheme="majorBidi" w:hAnsiTheme="majorBidi"/>
          <w:color w:val="000000"/>
        </w:rPr>
        <w:t>Executive Summary &amp; Key Metrics</w:t>
      </w:r>
    </w:p>
    <w:p w14:paraId="24768005" w14:textId="77777777" w:rsidR="00A3273C" w:rsidRPr="00A3273C" w:rsidRDefault="00A3273C" w:rsidP="00A3273C">
      <w:pPr>
        <w:pStyle w:val="Heading3"/>
        <w:rPr>
          <w:rFonts w:asciiTheme="majorBidi" w:hAnsiTheme="majorBidi"/>
          <w:b/>
          <w:bCs/>
          <w:color w:val="000000"/>
        </w:rPr>
      </w:pPr>
      <w:r w:rsidRPr="00A3273C">
        <w:rPr>
          <w:rFonts w:asciiTheme="majorBidi" w:hAnsiTheme="majorBidi"/>
          <w:b/>
          <w:bCs/>
          <w:color w:val="000000"/>
        </w:rPr>
        <w:t>1.</w:t>
      </w:r>
      <w:r w:rsidRPr="00A3273C">
        <w:rPr>
          <w:rStyle w:val="apple-converted-space"/>
          <w:rFonts w:asciiTheme="majorBidi" w:hAnsiTheme="majorBidi"/>
          <w:b/>
          <w:bCs/>
          <w:color w:val="000000"/>
        </w:rPr>
        <w:t> </w:t>
      </w:r>
      <w:r w:rsidRPr="00A3273C">
        <w:rPr>
          <w:rStyle w:val="Strong"/>
          <w:rFonts w:asciiTheme="majorBidi" w:hAnsiTheme="majorBidi"/>
          <w:color w:val="000000"/>
        </w:rPr>
        <w:t>Executive Summary</w:t>
      </w:r>
    </w:p>
    <w:p w14:paraId="711A1814" w14:textId="77777777" w:rsidR="00A3273C" w:rsidRPr="00A3273C" w:rsidRDefault="00A3273C" w:rsidP="00A3273C">
      <w:pPr>
        <w:pStyle w:val="NormalWeb"/>
        <w:numPr>
          <w:ilvl w:val="0"/>
          <w:numId w:val="10"/>
        </w:numPr>
        <w:rPr>
          <w:rFonts w:asciiTheme="majorBidi" w:hAnsiTheme="majorBidi" w:cstheme="majorBidi"/>
          <w:color w:val="000000"/>
        </w:rPr>
      </w:pPr>
      <w:r w:rsidRPr="00A3273C">
        <w:rPr>
          <w:rFonts w:asciiTheme="majorBidi" w:hAnsiTheme="majorBidi" w:cstheme="majorBidi"/>
          <w:color w:val="000000"/>
        </w:rPr>
        <w:t>Overview of innovation programs impacted by geopolitical risk.</w:t>
      </w:r>
    </w:p>
    <w:p w14:paraId="111AB66C" w14:textId="77777777" w:rsidR="00A3273C" w:rsidRPr="00A3273C" w:rsidRDefault="00A3273C" w:rsidP="00A3273C">
      <w:pPr>
        <w:pStyle w:val="NormalWeb"/>
        <w:numPr>
          <w:ilvl w:val="0"/>
          <w:numId w:val="10"/>
        </w:numPr>
        <w:rPr>
          <w:rFonts w:asciiTheme="majorBidi" w:hAnsiTheme="majorBidi" w:cstheme="majorBidi"/>
          <w:color w:val="000000"/>
        </w:rPr>
      </w:pPr>
      <w:r w:rsidRPr="00A3273C">
        <w:rPr>
          <w:rFonts w:asciiTheme="majorBidi" w:hAnsiTheme="majorBidi" w:cstheme="majorBidi"/>
          <w:color w:val="000000"/>
        </w:rPr>
        <w:t>Key risks identified this period (sanctions, trade restrictions, regional instability).</w:t>
      </w:r>
    </w:p>
    <w:p w14:paraId="48D50A27" w14:textId="77777777" w:rsidR="00A3273C" w:rsidRPr="00A3273C" w:rsidRDefault="00A3273C" w:rsidP="00A3273C">
      <w:pPr>
        <w:pStyle w:val="NormalWeb"/>
        <w:numPr>
          <w:ilvl w:val="0"/>
          <w:numId w:val="10"/>
        </w:numPr>
        <w:rPr>
          <w:rFonts w:asciiTheme="majorBidi" w:hAnsiTheme="majorBidi" w:cstheme="majorBidi"/>
          <w:color w:val="000000"/>
        </w:rPr>
      </w:pPr>
      <w:r w:rsidRPr="00A3273C">
        <w:rPr>
          <w:rFonts w:asciiTheme="majorBidi" w:hAnsiTheme="majorBidi" w:cstheme="majorBidi"/>
          <w:color w:val="000000"/>
        </w:rPr>
        <w:t>Highlights of mitigation strategies and program pivots.</w:t>
      </w:r>
    </w:p>
    <w:p w14:paraId="2FF3477F" w14:textId="77777777" w:rsidR="00A3273C" w:rsidRPr="00A3273C" w:rsidRDefault="00A3273C" w:rsidP="00A3273C">
      <w:pPr>
        <w:pStyle w:val="NormalWeb"/>
        <w:rPr>
          <w:rFonts w:asciiTheme="majorBidi" w:hAnsiTheme="majorBidi" w:cstheme="majorBidi"/>
          <w:color w:val="000000"/>
        </w:rPr>
      </w:pPr>
      <w:r w:rsidRPr="00A3273C">
        <w:rPr>
          <w:rStyle w:val="Strong"/>
          <w:rFonts w:asciiTheme="majorBidi" w:eastAsiaTheme="majorEastAsia" w:hAnsiTheme="majorBidi" w:cstheme="majorBidi"/>
          <w:color w:val="000000"/>
        </w:rPr>
        <w:t>Example:</w:t>
      </w:r>
    </w:p>
    <w:p w14:paraId="230A97FF" w14:textId="77777777" w:rsidR="00A3273C" w:rsidRPr="00A3273C" w:rsidRDefault="00A3273C" w:rsidP="00A3273C">
      <w:pPr>
        <w:pStyle w:val="NormalWeb"/>
        <w:rPr>
          <w:rFonts w:asciiTheme="majorBidi" w:hAnsiTheme="majorBidi" w:cstheme="majorBidi"/>
          <w:color w:val="000000"/>
        </w:rPr>
      </w:pPr>
      <w:r w:rsidRPr="00A3273C">
        <w:rPr>
          <w:rFonts w:asciiTheme="majorBidi" w:hAnsiTheme="majorBidi" w:cstheme="majorBidi"/>
          <w:color w:val="000000"/>
        </w:rPr>
        <w:t>“This quarter, the imposition of export restrictions in Region X delayed Project Y by 4 weeks. Mitigation through alternative suppliers and regional partnerships has reduced risk exposure. Overall, 80% of programs remain on track, though geopolitical volatility continues to require active monitoring.”</w:t>
      </w:r>
    </w:p>
    <w:p w14:paraId="6875E8B4"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23F129CB">
          <v:rect id="_x0000_i1031" alt="" style="width:468pt;height:.05pt;mso-width-percent:0;mso-height-percent:0;mso-width-percent:0;mso-height-percent:0" o:hralign="center" o:hrstd="t" o:hr="t" fillcolor="#a0a0a0" stroked="f"/>
        </w:pict>
      </w:r>
    </w:p>
    <w:p w14:paraId="0E6D1DC8" w14:textId="77777777" w:rsidR="00A3273C" w:rsidRPr="009C6B9E" w:rsidRDefault="00A3273C" w:rsidP="00A3273C">
      <w:pPr>
        <w:pStyle w:val="Heading3"/>
        <w:rPr>
          <w:rFonts w:asciiTheme="majorBidi" w:hAnsiTheme="majorBidi"/>
          <w:color w:val="000000"/>
        </w:rPr>
      </w:pPr>
      <w:r w:rsidRPr="009C6B9E">
        <w:rPr>
          <w:rFonts w:asciiTheme="majorBidi" w:hAnsiTheme="majorBidi"/>
          <w:color w:val="000000"/>
        </w:rPr>
        <w:lastRenderedPageBreak/>
        <w:t>2.</w:t>
      </w:r>
      <w:r w:rsidRPr="009C6B9E">
        <w:rPr>
          <w:rStyle w:val="apple-converted-space"/>
          <w:rFonts w:asciiTheme="majorBidi" w:hAnsiTheme="majorBidi"/>
          <w:color w:val="000000"/>
        </w:rPr>
        <w:t> </w:t>
      </w:r>
      <w:r w:rsidRPr="009C6B9E">
        <w:rPr>
          <w:rStyle w:val="Strong"/>
          <w:rFonts w:asciiTheme="majorBidi" w:hAnsiTheme="majorBidi"/>
          <w:color w:val="000000"/>
        </w:rPr>
        <w:t>Innovation Portfolio Overview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2"/>
        <w:gridCol w:w="1358"/>
        <w:gridCol w:w="1990"/>
        <w:gridCol w:w="1378"/>
        <w:gridCol w:w="1954"/>
        <w:gridCol w:w="1208"/>
      </w:tblGrid>
      <w:tr w:rsidR="00A3273C" w:rsidRPr="00A3273C" w14:paraId="3E9761D8" w14:textId="77777777">
        <w:trPr>
          <w:tblHeader/>
          <w:tblCellSpacing w:w="15" w:type="dxa"/>
        </w:trPr>
        <w:tc>
          <w:tcPr>
            <w:tcW w:w="0" w:type="auto"/>
            <w:vAlign w:val="center"/>
            <w:hideMark/>
          </w:tcPr>
          <w:p w14:paraId="0B1C33B6"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Program / Initiative</w:t>
            </w:r>
          </w:p>
        </w:tc>
        <w:tc>
          <w:tcPr>
            <w:tcW w:w="0" w:type="auto"/>
            <w:vAlign w:val="center"/>
            <w:hideMark/>
          </w:tcPr>
          <w:p w14:paraId="53F88D7B"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Stage (Idea → Pilot → Scale)</w:t>
            </w:r>
          </w:p>
        </w:tc>
        <w:tc>
          <w:tcPr>
            <w:tcW w:w="0" w:type="auto"/>
            <w:vAlign w:val="center"/>
            <w:hideMark/>
          </w:tcPr>
          <w:p w14:paraId="015882A7"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Geopolitical Exposure (High / Medium / Low)</w:t>
            </w:r>
          </w:p>
        </w:tc>
        <w:tc>
          <w:tcPr>
            <w:tcW w:w="0" w:type="auto"/>
            <w:vAlign w:val="center"/>
            <w:hideMark/>
          </w:tcPr>
          <w:p w14:paraId="3B98E16A"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Impact of Disruption</w:t>
            </w:r>
          </w:p>
        </w:tc>
        <w:tc>
          <w:tcPr>
            <w:tcW w:w="0" w:type="auto"/>
            <w:vAlign w:val="center"/>
            <w:hideMark/>
          </w:tcPr>
          <w:p w14:paraId="730C6171"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Mitigation Actions</w:t>
            </w:r>
          </w:p>
        </w:tc>
        <w:tc>
          <w:tcPr>
            <w:tcW w:w="0" w:type="auto"/>
            <w:vAlign w:val="center"/>
            <w:hideMark/>
          </w:tcPr>
          <w:p w14:paraId="3D0331B9"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Next Review</w:t>
            </w:r>
          </w:p>
        </w:tc>
      </w:tr>
      <w:tr w:rsidR="00A3273C" w:rsidRPr="00A3273C" w14:paraId="2E76F88C" w14:textId="77777777">
        <w:trPr>
          <w:tblCellSpacing w:w="15" w:type="dxa"/>
        </w:trPr>
        <w:tc>
          <w:tcPr>
            <w:tcW w:w="0" w:type="auto"/>
            <w:vAlign w:val="center"/>
            <w:hideMark/>
          </w:tcPr>
          <w:p w14:paraId="50917AED" w14:textId="77777777" w:rsidR="00A3273C" w:rsidRPr="00A3273C" w:rsidRDefault="00A3273C">
            <w:pPr>
              <w:rPr>
                <w:rFonts w:asciiTheme="majorBidi" w:hAnsiTheme="majorBidi" w:cstheme="majorBidi"/>
              </w:rPr>
            </w:pPr>
            <w:r w:rsidRPr="00A3273C">
              <w:rPr>
                <w:rFonts w:asciiTheme="majorBidi" w:hAnsiTheme="majorBidi" w:cstheme="majorBidi"/>
              </w:rPr>
              <w:t>Product Y (Hardware)</w:t>
            </w:r>
          </w:p>
        </w:tc>
        <w:tc>
          <w:tcPr>
            <w:tcW w:w="0" w:type="auto"/>
            <w:vAlign w:val="center"/>
            <w:hideMark/>
          </w:tcPr>
          <w:p w14:paraId="7825BFAB" w14:textId="77777777" w:rsidR="00A3273C" w:rsidRPr="00A3273C" w:rsidRDefault="00A3273C">
            <w:pPr>
              <w:rPr>
                <w:rFonts w:asciiTheme="majorBidi" w:hAnsiTheme="majorBidi" w:cstheme="majorBidi"/>
              </w:rPr>
            </w:pPr>
            <w:r w:rsidRPr="00A3273C">
              <w:rPr>
                <w:rFonts w:asciiTheme="majorBidi" w:hAnsiTheme="majorBidi" w:cstheme="majorBidi"/>
              </w:rPr>
              <w:t>Pilot</w:t>
            </w:r>
          </w:p>
        </w:tc>
        <w:tc>
          <w:tcPr>
            <w:tcW w:w="0" w:type="auto"/>
            <w:vAlign w:val="center"/>
            <w:hideMark/>
          </w:tcPr>
          <w:p w14:paraId="5B3700B3" w14:textId="77777777" w:rsidR="00A3273C" w:rsidRPr="00A3273C" w:rsidRDefault="00A3273C">
            <w:pPr>
              <w:rPr>
                <w:rFonts w:asciiTheme="majorBidi" w:hAnsiTheme="majorBidi" w:cstheme="majorBidi"/>
              </w:rPr>
            </w:pPr>
            <w:r w:rsidRPr="00A3273C">
              <w:rPr>
                <w:rFonts w:asciiTheme="majorBidi" w:hAnsiTheme="majorBidi" w:cstheme="majorBidi"/>
              </w:rPr>
              <w:t>High</w:t>
            </w:r>
          </w:p>
        </w:tc>
        <w:tc>
          <w:tcPr>
            <w:tcW w:w="0" w:type="auto"/>
            <w:vAlign w:val="center"/>
            <w:hideMark/>
          </w:tcPr>
          <w:p w14:paraId="6822BD59" w14:textId="77777777" w:rsidR="00A3273C" w:rsidRPr="00A3273C" w:rsidRDefault="00A3273C">
            <w:pPr>
              <w:rPr>
                <w:rFonts w:asciiTheme="majorBidi" w:hAnsiTheme="majorBidi" w:cstheme="majorBidi"/>
              </w:rPr>
            </w:pPr>
            <w:r w:rsidRPr="00A3273C">
              <w:rPr>
                <w:rFonts w:asciiTheme="majorBidi" w:hAnsiTheme="majorBidi" w:cstheme="majorBidi"/>
              </w:rPr>
              <w:t>Delayed production</w:t>
            </w:r>
          </w:p>
        </w:tc>
        <w:tc>
          <w:tcPr>
            <w:tcW w:w="0" w:type="auto"/>
            <w:vAlign w:val="center"/>
            <w:hideMark/>
          </w:tcPr>
          <w:p w14:paraId="17C6F5DF" w14:textId="77777777" w:rsidR="00A3273C" w:rsidRPr="00A3273C" w:rsidRDefault="00A3273C">
            <w:pPr>
              <w:rPr>
                <w:rFonts w:asciiTheme="majorBidi" w:hAnsiTheme="majorBidi" w:cstheme="majorBidi"/>
              </w:rPr>
            </w:pPr>
            <w:r w:rsidRPr="00A3273C">
              <w:rPr>
                <w:rFonts w:asciiTheme="majorBidi" w:hAnsiTheme="majorBidi" w:cstheme="majorBidi"/>
              </w:rPr>
              <w:t>Alternative regional sourcing; design adjustments</w:t>
            </w:r>
          </w:p>
        </w:tc>
        <w:tc>
          <w:tcPr>
            <w:tcW w:w="0" w:type="auto"/>
            <w:vAlign w:val="center"/>
            <w:hideMark/>
          </w:tcPr>
          <w:p w14:paraId="46D32D20" w14:textId="77777777" w:rsidR="00A3273C" w:rsidRPr="00A3273C" w:rsidRDefault="00A3273C">
            <w:pPr>
              <w:rPr>
                <w:rFonts w:asciiTheme="majorBidi" w:hAnsiTheme="majorBidi" w:cstheme="majorBidi"/>
              </w:rPr>
            </w:pPr>
            <w:r w:rsidRPr="00A3273C">
              <w:rPr>
                <w:rFonts w:asciiTheme="majorBidi" w:hAnsiTheme="majorBidi" w:cstheme="majorBidi"/>
              </w:rPr>
              <w:t>12/15/2025</w:t>
            </w:r>
          </w:p>
        </w:tc>
      </w:tr>
      <w:tr w:rsidR="00A3273C" w:rsidRPr="00A3273C" w14:paraId="049CA565" w14:textId="77777777">
        <w:trPr>
          <w:tblCellSpacing w:w="15" w:type="dxa"/>
        </w:trPr>
        <w:tc>
          <w:tcPr>
            <w:tcW w:w="0" w:type="auto"/>
            <w:vAlign w:val="center"/>
            <w:hideMark/>
          </w:tcPr>
          <w:p w14:paraId="2529D71F" w14:textId="77777777" w:rsidR="00A3273C" w:rsidRPr="00A3273C" w:rsidRDefault="00A3273C">
            <w:pPr>
              <w:rPr>
                <w:rFonts w:asciiTheme="majorBidi" w:hAnsiTheme="majorBidi" w:cstheme="majorBidi"/>
              </w:rPr>
            </w:pPr>
            <w:r w:rsidRPr="00A3273C">
              <w:rPr>
                <w:rFonts w:asciiTheme="majorBidi" w:hAnsiTheme="majorBidi" w:cstheme="majorBidi"/>
              </w:rPr>
              <w:t>Cloud Platform Expansion</w:t>
            </w:r>
          </w:p>
        </w:tc>
        <w:tc>
          <w:tcPr>
            <w:tcW w:w="0" w:type="auto"/>
            <w:vAlign w:val="center"/>
            <w:hideMark/>
          </w:tcPr>
          <w:p w14:paraId="512E85F2" w14:textId="77777777" w:rsidR="00A3273C" w:rsidRPr="00A3273C" w:rsidRDefault="00A3273C">
            <w:pPr>
              <w:rPr>
                <w:rFonts w:asciiTheme="majorBidi" w:hAnsiTheme="majorBidi" w:cstheme="majorBidi"/>
              </w:rPr>
            </w:pPr>
            <w:r w:rsidRPr="00A3273C">
              <w:rPr>
                <w:rFonts w:asciiTheme="majorBidi" w:hAnsiTheme="majorBidi" w:cstheme="majorBidi"/>
              </w:rPr>
              <w:t>Scale</w:t>
            </w:r>
          </w:p>
        </w:tc>
        <w:tc>
          <w:tcPr>
            <w:tcW w:w="0" w:type="auto"/>
            <w:vAlign w:val="center"/>
            <w:hideMark/>
          </w:tcPr>
          <w:p w14:paraId="00D56BE9" w14:textId="77777777" w:rsidR="00A3273C" w:rsidRPr="00A3273C" w:rsidRDefault="00A3273C">
            <w:pPr>
              <w:rPr>
                <w:rFonts w:asciiTheme="majorBidi" w:hAnsiTheme="majorBidi" w:cstheme="majorBidi"/>
              </w:rPr>
            </w:pPr>
            <w:r w:rsidRPr="00A3273C">
              <w:rPr>
                <w:rFonts w:asciiTheme="majorBidi" w:hAnsiTheme="majorBidi" w:cstheme="majorBidi"/>
              </w:rPr>
              <w:t>Medium</w:t>
            </w:r>
          </w:p>
        </w:tc>
        <w:tc>
          <w:tcPr>
            <w:tcW w:w="0" w:type="auto"/>
            <w:vAlign w:val="center"/>
            <w:hideMark/>
          </w:tcPr>
          <w:p w14:paraId="169978B4" w14:textId="77777777" w:rsidR="00A3273C" w:rsidRPr="00A3273C" w:rsidRDefault="00A3273C">
            <w:pPr>
              <w:rPr>
                <w:rFonts w:asciiTheme="majorBidi" w:hAnsiTheme="majorBidi" w:cstheme="majorBidi"/>
              </w:rPr>
            </w:pPr>
            <w:r w:rsidRPr="00A3273C">
              <w:rPr>
                <w:rFonts w:asciiTheme="majorBidi" w:hAnsiTheme="majorBidi" w:cstheme="majorBidi"/>
              </w:rPr>
              <w:t>Minimal</w:t>
            </w:r>
          </w:p>
        </w:tc>
        <w:tc>
          <w:tcPr>
            <w:tcW w:w="0" w:type="auto"/>
            <w:vAlign w:val="center"/>
            <w:hideMark/>
          </w:tcPr>
          <w:p w14:paraId="18B84791" w14:textId="77777777" w:rsidR="00A3273C" w:rsidRPr="00A3273C" w:rsidRDefault="00A3273C">
            <w:pPr>
              <w:rPr>
                <w:rFonts w:asciiTheme="majorBidi" w:hAnsiTheme="majorBidi" w:cstheme="majorBidi"/>
              </w:rPr>
            </w:pPr>
            <w:r w:rsidRPr="00A3273C">
              <w:rPr>
                <w:rFonts w:asciiTheme="majorBidi" w:hAnsiTheme="majorBidi" w:cstheme="majorBidi"/>
              </w:rPr>
              <w:t>Legal review, multi-region deployment</w:t>
            </w:r>
          </w:p>
        </w:tc>
        <w:tc>
          <w:tcPr>
            <w:tcW w:w="0" w:type="auto"/>
            <w:vAlign w:val="center"/>
            <w:hideMark/>
          </w:tcPr>
          <w:p w14:paraId="709E512A" w14:textId="77777777" w:rsidR="00A3273C" w:rsidRPr="00A3273C" w:rsidRDefault="00A3273C">
            <w:pPr>
              <w:rPr>
                <w:rFonts w:asciiTheme="majorBidi" w:hAnsiTheme="majorBidi" w:cstheme="majorBidi"/>
              </w:rPr>
            </w:pPr>
            <w:r w:rsidRPr="00A3273C">
              <w:rPr>
                <w:rFonts w:asciiTheme="majorBidi" w:hAnsiTheme="majorBidi" w:cstheme="majorBidi"/>
              </w:rPr>
              <w:t>12/15/2025</w:t>
            </w:r>
          </w:p>
        </w:tc>
      </w:tr>
      <w:tr w:rsidR="00A3273C" w:rsidRPr="00A3273C" w14:paraId="1F644049" w14:textId="77777777">
        <w:trPr>
          <w:tblCellSpacing w:w="15" w:type="dxa"/>
        </w:trPr>
        <w:tc>
          <w:tcPr>
            <w:tcW w:w="0" w:type="auto"/>
            <w:vAlign w:val="center"/>
            <w:hideMark/>
          </w:tcPr>
          <w:p w14:paraId="0881C96B" w14:textId="77777777" w:rsidR="00A3273C" w:rsidRPr="00A3273C" w:rsidRDefault="00A3273C">
            <w:pPr>
              <w:rPr>
                <w:rFonts w:asciiTheme="majorBidi" w:hAnsiTheme="majorBidi" w:cstheme="majorBidi"/>
              </w:rPr>
            </w:pPr>
            <w:r w:rsidRPr="00A3273C">
              <w:rPr>
                <w:rFonts w:asciiTheme="majorBidi" w:hAnsiTheme="majorBidi" w:cstheme="majorBidi"/>
              </w:rPr>
              <w:t>Battery R&amp;D</w:t>
            </w:r>
          </w:p>
        </w:tc>
        <w:tc>
          <w:tcPr>
            <w:tcW w:w="0" w:type="auto"/>
            <w:vAlign w:val="center"/>
            <w:hideMark/>
          </w:tcPr>
          <w:p w14:paraId="7618CA69" w14:textId="77777777" w:rsidR="00A3273C" w:rsidRPr="00A3273C" w:rsidRDefault="00A3273C">
            <w:pPr>
              <w:rPr>
                <w:rFonts w:asciiTheme="majorBidi" w:hAnsiTheme="majorBidi" w:cstheme="majorBidi"/>
              </w:rPr>
            </w:pPr>
            <w:r w:rsidRPr="00A3273C">
              <w:rPr>
                <w:rFonts w:asciiTheme="majorBidi" w:hAnsiTheme="majorBidi" w:cstheme="majorBidi"/>
              </w:rPr>
              <w:t>Research</w:t>
            </w:r>
          </w:p>
        </w:tc>
        <w:tc>
          <w:tcPr>
            <w:tcW w:w="0" w:type="auto"/>
            <w:vAlign w:val="center"/>
            <w:hideMark/>
          </w:tcPr>
          <w:p w14:paraId="301A155B" w14:textId="77777777" w:rsidR="00A3273C" w:rsidRPr="00A3273C" w:rsidRDefault="00A3273C">
            <w:pPr>
              <w:rPr>
                <w:rFonts w:asciiTheme="majorBidi" w:hAnsiTheme="majorBidi" w:cstheme="majorBidi"/>
              </w:rPr>
            </w:pPr>
            <w:r w:rsidRPr="00A3273C">
              <w:rPr>
                <w:rFonts w:asciiTheme="majorBidi" w:hAnsiTheme="majorBidi" w:cstheme="majorBidi"/>
              </w:rPr>
              <w:t>High</w:t>
            </w:r>
          </w:p>
        </w:tc>
        <w:tc>
          <w:tcPr>
            <w:tcW w:w="0" w:type="auto"/>
            <w:vAlign w:val="center"/>
            <w:hideMark/>
          </w:tcPr>
          <w:p w14:paraId="73B21D98" w14:textId="77777777" w:rsidR="00A3273C" w:rsidRPr="00A3273C" w:rsidRDefault="00A3273C">
            <w:pPr>
              <w:rPr>
                <w:rFonts w:asciiTheme="majorBidi" w:hAnsiTheme="majorBidi" w:cstheme="majorBidi"/>
              </w:rPr>
            </w:pPr>
            <w:r w:rsidRPr="00A3273C">
              <w:rPr>
                <w:rFonts w:asciiTheme="majorBidi" w:hAnsiTheme="majorBidi" w:cstheme="majorBidi"/>
              </w:rPr>
              <w:t>Material access risk</w:t>
            </w:r>
          </w:p>
        </w:tc>
        <w:tc>
          <w:tcPr>
            <w:tcW w:w="0" w:type="auto"/>
            <w:vAlign w:val="center"/>
            <w:hideMark/>
          </w:tcPr>
          <w:p w14:paraId="132652BF" w14:textId="77777777" w:rsidR="00A3273C" w:rsidRPr="00A3273C" w:rsidRDefault="00A3273C">
            <w:pPr>
              <w:rPr>
                <w:rFonts w:asciiTheme="majorBidi" w:hAnsiTheme="majorBidi" w:cstheme="majorBidi"/>
              </w:rPr>
            </w:pPr>
            <w:r w:rsidRPr="00A3273C">
              <w:rPr>
                <w:rFonts w:asciiTheme="majorBidi" w:hAnsiTheme="majorBidi" w:cstheme="majorBidi"/>
              </w:rPr>
              <w:t>Local supplier partnerships</w:t>
            </w:r>
          </w:p>
        </w:tc>
        <w:tc>
          <w:tcPr>
            <w:tcW w:w="0" w:type="auto"/>
            <w:vAlign w:val="center"/>
            <w:hideMark/>
          </w:tcPr>
          <w:p w14:paraId="40412CE6" w14:textId="77777777" w:rsidR="00A3273C" w:rsidRPr="00A3273C" w:rsidRDefault="00A3273C">
            <w:pPr>
              <w:rPr>
                <w:rFonts w:asciiTheme="majorBidi" w:hAnsiTheme="majorBidi" w:cstheme="majorBidi"/>
              </w:rPr>
            </w:pPr>
            <w:r w:rsidRPr="00A3273C">
              <w:rPr>
                <w:rFonts w:asciiTheme="majorBidi" w:hAnsiTheme="majorBidi" w:cstheme="majorBidi"/>
              </w:rPr>
              <w:t>01/10/2026</w:t>
            </w:r>
          </w:p>
        </w:tc>
      </w:tr>
    </w:tbl>
    <w:p w14:paraId="6402E3FE" w14:textId="77777777" w:rsidR="00A3273C" w:rsidRPr="00A3273C" w:rsidRDefault="00A3273C" w:rsidP="00A3273C">
      <w:pPr>
        <w:pStyle w:val="NormalWeb"/>
        <w:rPr>
          <w:rFonts w:asciiTheme="majorBidi" w:hAnsiTheme="majorBidi" w:cstheme="majorBidi"/>
          <w:color w:val="000000"/>
        </w:rPr>
      </w:pPr>
      <w:r w:rsidRPr="00A3273C">
        <w:rPr>
          <w:rStyle w:val="Strong"/>
          <w:rFonts w:asciiTheme="majorBidi" w:eastAsiaTheme="majorEastAsia" w:hAnsiTheme="majorBidi" w:cstheme="majorBidi"/>
          <w:color w:val="000000"/>
        </w:rPr>
        <w:t>Metrics to Track:</w:t>
      </w:r>
    </w:p>
    <w:p w14:paraId="5DF17F4F" w14:textId="77777777" w:rsidR="00A3273C" w:rsidRPr="00A3273C" w:rsidRDefault="00A3273C" w:rsidP="00A3273C">
      <w:pPr>
        <w:pStyle w:val="NormalWeb"/>
        <w:numPr>
          <w:ilvl w:val="0"/>
          <w:numId w:val="11"/>
        </w:numPr>
        <w:rPr>
          <w:rFonts w:asciiTheme="majorBidi" w:hAnsiTheme="majorBidi" w:cstheme="majorBidi"/>
          <w:color w:val="000000"/>
        </w:rPr>
      </w:pPr>
      <w:r w:rsidRPr="00A3273C">
        <w:rPr>
          <w:rFonts w:asciiTheme="majorBidi" w:hAnsiTheme="majorBidi" w:cstheme="majorBidi"/>
          <w:color w:val="000000"/>
        </w:rPr>
        <w:t>% of programs exposed to geopolitical risk</w:t>
      </w:r>
    </w:p>
    <w:p w14:paraId="14ADD317" w14:textId="77777777" w:rsidR="00A3273C" w:rsidRPr="00A3273C" w:rsidRDefault="00A3273C" w:rsidP="00A3273C">
      <w:pPr>
        <w:pStyle w:val="NormalWeb"/>
        <w:numPr>
          <w:ilvl w:val="0"/>
          <w:numId w:val="11"/>
        </w:numPr>
        <w:rPr>
          <w:rFonts w:asciiTheme="majorBidi" w:hAnsiTheme="majorBidi" w:cstheme="majorBidi"/>
          <w:color w:val="000000"/>
        </w:rPr>
      </w:pPr>
      <w:r w:rsidRPr="00A3273C">
        <w:rPr>
          <w:rFonts w:asciiTheme="majorBidi" w:hAnsiTheme="majorBidi" w:cstheme="majorBidi"/>
          <w:color w:val="000000"/>
        </w:rPr>
        <w:t>% of projects with active mitigation plans</w:t>
      </w:r>
    </w:p>
    <w:p w14:paraId="6B87E794" w14:textId="77777777" w:rsidR="00A3273C" w:rsidRPr="00A3273C" w:rsidRDefault="00A3273C" w:rsidP="00A3273C">
      <w:pPr>
        <w:pStyle w:val="NormalWeb"/>
        <w:numPr>
          <w:ilvl w:val="0"/>
          <w:numId w:val="11"/>
        </w:numPr>
        <w:rPr>
          <w:rFonts w:asciiTheme="majorBidi" w:hAnsiTheme="majorBidi" w:cstheme="majorBidi"/>
          <w:color w:val="000000"/>
        </w:rPr>
      </w:pPr>
      <w:r w:rsidRPr="00A3273C">
        <w:rPr>
          <w:rFonts w:asciiTheme="majorBidi" w:hAnsiTheme="majorBidi" w:cstheme="majorBidi"/>
          <w:color w:val="000000"/>
        </w:rPr>
        <w:t>Timeline impact vs. baseline</w:t>
      </w:r>
    </w:p>
    <w:p w14:paraId="57CC0AE1"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4C56DCC0">
          <v:rect id="_x0000_i1030" alt="" style="width:468pt;height:.05pt;mso-width-percent:0;mso-height-percent:0;mso-width-percent:0;mso-height-percent:0" o:hralign="center" o:hrstd="t" o:hr="t" fillcolor="#a0a0a0" stroked="f"/>
        </w:pict>
      </w:r>
    </w:p>
    <w:p w14:paraId="49CA4C27" w14:textId="77777777" w:rsidR="00A3273C" w:rsidRPr="009C6B9E" w:rsidRDefault="00A3273C" w:rsidP="00A3273C">
      <w:pPr>
        <w:pStyle w:val="Heading3"/>
        <w:rPr>
          <w:rFonts w:asciiTheme="majorBidi" w:hAnsiTheme="majorBidi"/>
          <w:b/>
          <w:bCs/>
          <w:color w:val="000000"/>
        </w:rPr>
      </w:pPr>
      <w:r w:rsidRPr="009C6B9E">
        <w:rPr>
          <w:rFonts w:asciiTheme="majorBidi" w:hAnsiTheme="majorBidi"/>
          <w:b/>
          <w:bCs/>
          <w:color w:val="000000"/>
        </w:rPr>
        <w:t>3.</w:t>
      </w:r>
      <w:r w:rsidRPr="009C6B9E">
        <w:rPr>
          <w:rStyle w:val="apple-converted-space"/>
          <w:rFonts w:asciiTheme="majorBidi" w:hAnsiTheme="majorBidi"/>
          <w:b/>
          <w:bCs/>
          <w:color w:val="000000"/>
        </w:rPr>
        <w:t> </w:t>
      </w:r>
      <w:r w:rsidRPr="009C6B9E">
        <w:rPr>
          <w:rStyle w:val="Strong"/>
          <w:rFonts w:asciiTheme="majorBidi" w:hAnsiTheme="majorBidi"/>
          <w:b w:val="0"/>
          <w:bCs w:val="0"/>
          <w:color w:val="000000"/>
        </w:rPr>
        <w:t>Key Geopolitical Risk Indicators</w:t>
      </w:r>
    </w:p>
    <w:p w14:paraId="70D85C04" w14:textId="77777777" w:rsidR="00A3273C" w:rsidRPr="00A3273C" w:rsidRDefault="00A3273C" w:rsidP="00A3273C">
      <w:pPr>
        <w:pStyle w:val="NormalWeb"/>
        <w:numPr>
          <w:ilvl w:val="0"/>
          <w:numId w:val="12"/>
        </w:numPr>
        <w:rPr>
          <w:rFonts w:asciiTheme="majorBidi" w:hAnsiTheme="majorBidi" w:cstheme="majorBidi"/>
          <w:color w:val="000000"/>
        </w:rPr>
      </w:pPr>
      <w:r w:rsidRPr="00A3273C">
        <w:rPr>
          <w:rFonts w:asciiTheme="majorBidi" w:hAnsiTheme="majorBidi" w:cstheme="majorBidi"/>
          <w:color w:val="000000"/>
        </w:rPr>
        <w:t>Export control / sanction exposure</w:t>
      </w:r>
    </w:p>
    <w:p w14:paraId="374EFC37" w14:textId="77777777" w:rsidR="00A3273C" w:rsidRPr="00A3273C" w:rsidRDefault="00A3273C" w:rsidP="00A3273C">
      <w:pPr>
        <w:pStyle w:val="NormalWeb"/>
        <w:numPr>
          <w:ilvl w:val="0"/>
          <w:numId w:val="12"/>
        </w:numPr>
        <w:rPr>
          <w:rFonts w:asciiTheme="majorBidi" w:hAnsiTheme="majorBidi" w:cstheme="majorBidi"/>
          <w:color w:val="000000"/>
        </w:rPr>
      </w:pPr>
      <w:r w:rsidRPr="00A3273C">
        <w:rPr>
          <w:rFonts w:asciiTheme="majorBidi" w:hAnsiTheme="majorBidi" w:cstheme="majorBidi"/>
          <w:color w:val="000000"/>
        </w:rPr>
        <w:t>Regional supplier concentration</w:t>
      </w:r>
    </w:p>
    <w:p w14:paraId="6C2EA012" w14:textId="77777777" w:rsidR="00A3273C" w:rsidRPr="00A3273C" w:rsidRDefault="00A3273C" w:rsidP="00A3273C">
      <w:pPr>
        <w:pStyle w:val="NormalWeb"/>
        <w:numPr>
          <w:ilvl w:val="0"/>
          <w:numId w:val="12"/>
        </w:numPr>
        <w:rPr>
          <w:rFonts w:asciiTheme="majorBidi" w:hAnsiTheme="majorBidi" w:cstheme="majorBidi"/>
          <w:color w:val="000000"/>
        </w:rPr>
      </w:pPr>
      <w:r w:rsidRPr="00A3273C">
        <w:rPr>
          <w:rFonts w:asciiTheme="majorBidi" w:hAnsiTheme="majorBidi" w:cstheme="majorBidi"/>
          <w:color w:val="000000"/>
        </w:rPr>
        <w:t>Political stability indices in key regions</w:t>
      </w:r>
    </w:p>
    <w:p w14:paraId="53BFC76D" w14:textId="77777777" w:rsidR="00A3273C" w:rsidRPr="00A3273C" w:rsidRDefault="00A3273C" w:rsidP="00A3273C">
      <w:pPr>
        <w:pStyle w:val="NormalWeb"/>
        <w:numPr>
          <w:ilvl w:val="0"/>
          <w:numId w:val="12"/>
        </w:numPr>
        <w:rPr>
          <w:rFonts w:asciiTheme="majorBidi" w:hAnsiTheme="majorBidi" w:cstheme="majorBidi"/>
          <w:color w:val="000000"/>
        </w:rPr>
      </w:pPr>
      <w:r w:rsidRPr="00A3273C">
        <w:rPr>
          <w:rFonts w:asciiTheme="majorBidi" w:hAnsiTheme="majorBidi" w:cstheme="majorBidi"/>
          <w:color w:val="000000"/>
        </w:rPr>
        <w:t>Tariff, trade restriction, or IP restriction risk</w:t>
      </w:r>
    </w:p>
    <w:p w14:paraId="7F528838" w14:textId="77777777" w:rsidR="00A3273C" w:rsidRPr="00A3273C" w:rsidRDefault="00A3273C" w:rsidP="00A3273C">
      <w:pPr>
        <w:pStyle w:val="NormalWeb"/>
        <w:rPr>
          <w:rFonts w:asciiTheme="majorBidi" w:hAnsiTheme="majorBidi" w:cstheme="majorBidi"/>
          <w:color w:val="000000"/>
        </w:rPr>
      </w:pPr>
      <w:r w:rsidRPr="00A3273C">
        <w:rPr>
          <w:rStyle w:val="Strong"/>
          <w:rFonts w:asciiTheme="majorBidi" w:eastAsiaTheme="majorEastAsia" w:hAnsiTheme="majorBidi" w:cstheme="majorBidi"/>
          <w:color w:val="000000"/>
        </w:rPr>
        <w:t>Visualization:</w:t>
      </w:r>
    </w:p>
    <w:p w14:paraId="1C40D491" w14:textId="77777777" w:rsidR="00A3273C" w:rsidRPr="00A3273C" w:rsidRDefault="00A3273C" w:rsidP="00A3273C">
      <w:pPr>
        <w:pStyle w:val="NormalWeb"/>
        <w:numPr>
          <w:ilvl w:val="0"/>
          <w:numId w:val="13"/>
        </w:numPr>
        <w:rPr>
          <w:rFonts w:asciiTheme="majorBidi" w:hAnsiTheme="majorBidi" w:cstheme="majorBidi"/>
          <w:color w:val="000000"/>
        </w:rPr>
      </w:pPr>
      <w:r w:rsidRPr="00A3273C">
        <w:rPr>
          <w:rFonts w:asciiTheme="majorBidi" w:hAnsiTheme="majorBidi" w:cstheme="majorBidi"/>
          <w:color w:val="000000"/>
        </w:rPr>
        <w:t>Heatmap of projects by geopolitical exposure</w:t>
      </w:r>
    </w:p>
    <w:p w14:paraId="7E277AB1" w14:textId="77777777" w:rsidR="00A3273C" w:rsidRPr="00A3273C" w:rsidRDefault="00A3273C" w:rsidP="00A3273C">
      <w:pPr>
        <w:pStyle w:val="NormalWeb"/>
        <w:numPr>
          <w:ilvl w:val="0"/>
          <w:numId w:val="13"/>
        </w:numPr>
        <w:rPr>
          <w:rFonts w:asciiTheme="majorBidi" w:hAnsiTheme="majorBidi" w:cstheme="majorBidi"/>
          <w:color w:val="000000"/>
        </w:rPr>
      </w:pPr>
      <w:r w:rsidRPr="00A3273C">
        <w:rPr>
          <w:rFonts w:asciiTheme="majorBidi" w:hAnsiTheme="majorBidi" w:cstheme="majorBidi"/>
          <w:color w:val="000000"/>
        </w:rPr>
        <w:t>Timeline showing risk-driven delays by project</w:t>
      </w:r>
    </w:p>
    <w:p w14:paraId="4B9AC519"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5E5C0070">
          <v:rect id="_x0000_i1029" alt="" style="width:468pt;height:.05pt;mso-width-percent:0;mso-height-percent:0;mso-width-percent:0;mso-height-percent:0" o:hralign="center" o:hrstd="t" o:hr="t" fillcolor="#a0a0a0" stroked="f"/>
        </w:pict>
      </w:r>
    </w:p>
    <w:p w14:paraId="0B882009" w14:textId="7C4108D0" w:rsidR="00A3273C" w:rsidRPr="009C6B9E" w:rsidRDefault="00A3273C" w:rsidP="00A3273C">
      <w:pPr>
        <w:pStyle w:val="Heading2"/>
        <w:rPr>
          <w:rFonts w:asciiTheme="majorBidi" w:hAnsiTheme="majorBidi"/>
          <w:color w:val="000000"/>
        </w:rPr>
      </w:pPr>
      <w:r w:rsidRPr="009C6B9E">
        <w:rPr>
          <w:rStyle w:val="Strong"/>
          <w:rFonts w:asciiTheme="majorBidi" w:hAnsiTheme="majorBidi"/>
          <w:color w:val="000000"/>
        </w:rPr>
        <w:lastRenderedPageBreak/>
        <w:t>Deep Dive &amp; Mitigation Actions</w:t>
      </w:r>
    </w:p>
    <w:p w14:paraId="0041A57B" w14:textId="77777777" w:rsidR="00A3273C" w:rsidRPr="009C6B9E" w:rsidRDefault="00A3273C" w:rsidP="00A3273C">
      <w:pPr>
        <w:pStyle w:val="Heading3"/>
        <w:rPr>
          <w:rFonts w:asciiTheme="majorBidi" w:hAnsiTheme="majorBidi"/>
          <w:b/>
          <w:bCs/>
          <w:color w:val="000000"/>
        </w:rPr>
      </w:pPr>
      <w:r w:rsidRPr="009C6B9E">
        <w:rPr>
          <w:rFonts w:asciiTheme="majorBidi" w:hAnsiTheme="majorBidi"/>
          <w:b/>
          <w:bCs/>
          <w:color w:val="000000"/>
        </w:rPr>
        <w:t>4.</w:t>
      </w:r>
      <w:r w:rsidRPr="009C6B9E">
        <w:rPr>
          <w:rStyle w:val="apple-converted-space"/>
          <w:rFonts w:asciiTheme="majorBidi" w:hAnsiTheme="majorBidi"/>
          <w:b/>
          <w:bCs/>
          <w:color w:val="000000"/>
        </w:rPr>
        <w:t> </w:t>
      </w:r>
      <w:r w:rsidRPr="009C6B9E">
        <w:rPr>
          <w:rStyle w:val="Strong"/>
          <w:rFonts w:asciiTheme="majorBidi" w:hAnsiTheme="majorBidi"/>
          <w:b w:val="0"/>
          <w:bCs w:val="0"/>
          <w:color w:val="000000"/>
        </w:rPr>
        <w:t>Project-Specific Insights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1"/>
        <w:gridCol w:w="1832"/>
        <w:gridCol w:w="1398"/>
        <w:gridCol w:w="2312"/>
        <w:gridCol w:w="1154"/>
        <w:gridCol w:w="1473"/>
      </w:tblGrid>
      <w:tr w:rsidR="00A3273C" w:rsidRPr="00A3273C" w14:paraId="21D34B62" w14:textId="77777777">
        <w:trPr>
          <w:tblHeader/>
          <w:tblCellSpacing w:w="15" w:type="dxa"/>
        </w:trPr>
        <w:tc>
          <w:tcPr>
            <w:tcW w:w="0" w:type="auto"/>
            <w:vAlign w:val="center"/>
            <w:hideMark/>
          </w:tcPr>
          <w:p w14:paraId="7176199A"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Initiative</w:t>
            </w:r>
          </w:p>
        </w:tc>
        <w:tc>
          <w:tcPr>
            <w:tcW w:w="0" w:type="auto"/>
            <w:vAlign w:val="center"/>
            <w:hideMark/>
          </w:tcPr>
          <w:p w14:paraId="5AC11272"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Geopolitical Challenge</w:t>
            </w:r>
          </w:p>
        </w:tc>
        <w:tc>
          <w:tcPr>
            <w:tcW w:w="0" w:type="auto"/>
            <w:vAlign w:val="center"/>
            <w:hideMark/>
          </w:tcPr>
          <w:p w14:paraId="3BED7E0D"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Root Cause</w:t>
            </w:r>
          </w:p>
        </w:tc>
        <w:tc>
          <w:tcPr>
            <w:tcW w:w="0" w:type="auto"/>
            <w:vAlign w:val="center"/>
            <w:hideMark/>
          </w:tcPr>
          <w:p w14:paraId="21097C03"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Action Taken</w:t>
            </w:r>
          </w:p>
        </w:tc>
        <w:tc>
          <w:tcPr>
            <w:tcW w:w="0" w:type="auto"/>
            <w:vAlign w:val="center"/>
            <w:hideMark/>
          </w:tcPr>
          <w:p w14:paraId="03E736EA"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Status</w:t>
            </w:r>
          </w:p>
        </w:tc>
        <w:tc>
          <w:tcPr>
            <w:tcW w:w="0" w:type="auto"/>
            <w:vAlign w:val="center"/>
            <w:hideMark/>
          </w:tcPr>
          <w:p w14:paraId="58326ED8"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Expected Impact</w:t>
            </w:r>
          </w:p>
        </w:tc>
      </w:tr>
      <w:tr w:rsidR="00A3273C" w:rsidRPr="00A3273C" w14:paraId="5DCF710D" w14:textId="77777777">
        <w:trPr>
          <w:tblCellSpacing w:w="15" w:type="dxa"/>
        </w:trPr>
        <w:tc>
          <w:tcPr>
            <w:tcW w:w="0" w:type="auto"/>
            <w:vAlign w:val="center"/>
            <w:hideMark/>
          </w:tcPr>
          <w:p w14:paraId="41FFAC31" w14:textId="77777777" w:rsidR="00A3273C" w:rsidRPr="00A3273C" w:rsidRDefault="00A3273C">
            <w:pPr>
              <w:rPr>
                <w:rFonts w:asciiTheme="majorBidi" w:hAnsiTheme="majorBidi" w:cstheme="majorBidi"/>
              </w:rPr>
            </w:pPr>
            <w:r w:rsidRPr="00A3273C">
              <w:rPr>
                <w:rFonts w:asciiTheme="majorBidi" w:hAnsiTheme="majorBidi" w:cstheme="majorBidi"/>
              </w:rPr>
              <w:t>Product Y</w:t>
            </w:r>
          </w:p>
        </w:tc>
        <w:tc>
          <w:tcPr>
            <w:tcW w:w="0" w:type="auto"/>
            <w:vAlign w:val="center"/>
            <w:hideMark/>
          </w:tcPr>
          <w:p w14:paraId="087DB97B" w14:textId="77777777" w:rsidR="00A3273C" w:rsidRPr="00A3273C" w:rsidRDefault="00A3273C">
            <w:pPr>
              <w:rPr>
                <w:rFonts w:asciiTheme="majorBidi" w:hAnsiTheme="majorBidi" w:cstheme="majorBidi"/>
              </w:rPr>
            </w:pPr>
            <w:r w:rsidRPr="00A3273C">
              <w:rPr>
                <w:rFonts w:asciiTheme="majorBidi" w:hAnsiTheme="majorBidi" w:cstheme="majorBidi"/>
              </w:rPr>
              <w:t>Export restriction</w:t>
            </w:r>
          </w:p>
        </w:tc>
        <w:tc>
          <w:tcPr>
            <w:tcW w:w="0" w:type="auto"/>
            <w:vAlign w:val="center"/>
            <w:hideMark/>
          </w:tcPr>
          <w:p w14:paraId="5A4169D1" w14:textId="77777777" w:rsidR="00A3273C" w:rsidRPr="00A3273C" w:rsidRDefault="00A3273C">
            <w:pPr>
              <w:rPr>
                <w:rFonts w:asciiTheme="majorBidi" w:hAnsiTheme="majorBidi" w:cstheme="majorBidi"/>
              </w:rPr>
            </w:pPr>
            <w:r w:rsidRPr="00A3273C">
              <w:rPr>
                <w:rFonts w:asciiTheme="majorBidi" w:hAnsiTheme="majorBidi" w:cstheme="majorBidi"/>
              </w:rPr>
              <w:t>Region X sanctions</w:t>
            </w:r>
          </w:p>
        </w:tc>
        <w:tc>
          <w:tcPr>
            <w:tcW w:w="0" w:type="auto"/>
            <w:vAlign w:val="center"/>
            <w:hideMark/>
          </w:tcPr>
          <w:p w14:paraId="1A85515E" w14:textId="77777777" w:rsidR="00A3273C" w:rsidRPr="00A3273C" w:rsidRDefault="00A3273C">
            <w:pPr>
              <w:rPr>
                <w:rFonts w:asciiTheme="majorBidi" w:hAnsiTheme="majorBidi" w:cstheme="majorBidi"/>
              </w:rPr>
            </w:pPr>
            <w:r w:rsidRPr="00A3273C">
              <w:rPr>
                <w:rFonts w:asciiTheme="majorBidi" w:hAnsiTheme="majorBidi" w:cstheme="majorBidi"/>
              </w:rPr>
              <w:t>Alternative regional supplier; design flexibility</w:t>
            </w:r>
          </w:p>
        </w:tc>
        <w:tc>
          <w:tcPr>
            <w:tcW w:w="0" w:type="auto"/>
            <w:vAlign w:val="center"/>
            <w:hideMark/>
          </w:tcPr>
          <w:p w14:paraId="078F3FD8" w14:textId="77777777" w:rsidR="00A3273C" w:rsidRPr="00A3273C" w:rsidRDefault="00A3273C">
            <w:pPr>
              <w:rPr>
                <w:rFonts w:asciiTheme="majorBidi" w:hAnsiTheme="majorBidi" w:cstheme="majorBidi"/>
              </w:rPr>
            </w:pPr>
            <w:r w:rsidRPr="00A3273C">
              <w:rPr>
                <w:rFonts w:asciiTheme="majorBidi" w:hAnsiTheme="majorBidi" w:cstheme="majorBidi"/>
              </w:rPr>
              <w:t>On track</w:t>
            </w:r>
          </w:p>
        </w:tc>
        <w:tc>
          <w:tcPr>
            <w:tcW w:w="0" w:type="auto"/>
            <w:vAlign w:val="center"/>
            <w:hideMark/>
          </w:tcPr>
          <w:p w14:paraId="1D90F9E4" w14:textId="77777777" w:rsidR="00A3273C" w:rsidRPr="00A3273C" w:rsidRDefault="00A3273C">
            <w:pPr>
              <w:rPr>
                <w:rFonts w:asciiTheme="majorBidi" w:hAnsiTheme="majorBidi" w:cstheme="majorBidi"/>
              </w:rPr>
            </w:pPr>
            <w:r w:rsidRPr="00A3273C">
              <w:rPr>
                <w:rFonts w:asciiTheme="majorBidi" w:hAnsiTheme="majorBidi" w:cstheme="majorBidi"/>
              </w:rPr>
              <w:t>Reduces 75% delay risk</w:t>
            </w:r>
          </w:p>
        </w:tc>
      </w:tr>
      <w:tr w:rsidR="00A3273C" w:rsidRPr="00A3273C" w14:paraId="12F63F48" w14:textId="77777777">
        <w:trPr>
          <w:tblCellSpacing w:w="15" w:type="dxa"/>
        </w:trPr>
        <w:tc>
          <w:tcPr>
            <w:tcW w:w="0" w:type="auto"/>
            <w:vAlign w:val="center"/>
            <w:hideMark/>
          </w:tcPr>
          <w:p w14:paraId="7A30D5AA" w14:textId="77777777" w:rsidR="00A3273C" w:rsidRPr="00A3273C" w:rsidRDefault="00A3273C">
            <w:pPr>
              <w:rPr>
                <w:rFonts w:asciiTheme="majorBidi" w:hAnsiTheme="majorBidi" w:cstheme="majorBidi"/>
              </w:rPr>
            </w:pPr>
            <w:r w:rsidRPr="00A3273C">
              <w:rPr>
                <w:rFonts w:asciiTheme="majorBidi" w:hAnsiTheme="majorBidi" w:cstheme="majorBidi"/>
              </w:rPr>
              <w:t>Cloud Platform</w:t>
            </w:r>
          </w:p>
        </w:tc>
        <w:tc>
          <w:tcPr>
            <w:tcW w:w="0" w:type="auto"/>
            <w:vAlign w:val="center"/>
            <w:hideMark/>
          </w:tcPr>
          <w:p w14:paraId="3E81C1B6" w14:textId="77777777" w:rsidR="00A3273C" w:rsidRPr="00A3273C" w:rsidRDefault="00A3273C">
            <w:pPr>
              <w:rPr>
                <w:rFonts w:asciiTheme="majorBidi" w:hAnsiTheme="majorBidi" w:cstheme="majorBidi"/>
              </w:rPr>
            </w:pPr>
            <w:r w:rsidRPr="00A3273C">
              <w:rPr>
                <w:rFonts w:asciiTheme="majorBidi" w:hAnsiTheme="majorBidi" w:cstheme="majorBidi"/>
              </w:rPr>
              <w:t>Data localization requirement</w:t>
            </w:r>
          </w:p>
        </w:tc>
        <w:tc>
          <w:tcPr>
            <w:tcW w:w="0" w:type="auto"/>
            <w:vAlign w:val="center"/>
            <w:hideMark/>
          </w:tcPr>
          <w:p w14:paraId="12F12CA0" w14:textId="77777777" w:rsidR="00A3273C" w:rsidRPr="00A3273C" w:rsidRDefault="00A3273C">
            <w:pPr>
              <w:rPr>
                <w:rFonts w:asciiTheme="majorBidi" w:hAnsiTheme="majorBidi" w:cstheme="majorBidi"/>
              </w:rPr>
            </w:pPr>
            <w:r w:rsidRPr="00A3273C">
              <w:rPr>
                <w:rFonts w:asciiTheme="majorBidi" w:hAnsiTheme="majorBidi" w:cstheme="majorBidi"/>
              </w:rPr>
              <w:t>New regulations</w:t>
            </w:r>
          </w:p>
        </w:tc>
        <w:tc>
          <w:tcPr>
            <w:tcW w:w="0" w:type="auto"/>
            <w:vAlign w:val="center"/>
            <w:hideMark/>
          </w:tcPr>
          <w:p w14:paraId="4949B0DE" w14:textId="77777777" w:rsidR="00A3273C" w:rsidRPr="00A3273C" w:rsidRDefault="00A3273C">
            <w:pPr>
              <w:rPr>
                <w:rFonts w:asciiTheme="majorBidi" w:hAnsiTheme="majorBidi" w:cstheme="majorBidi"/>
              </w:rPr>
            </w:pPr>
            <w:r w:rsidRPr="00A3273C">
              <w:rPr>
                <w:rFonts w:asciiTheme="majorBidi" w:hAnsiTheme="majorBidi" w:cstheme="majorBidi"/>
              </w:rPr>
              <w:t>Multi-region deployment</w:t>
            </w:r>
          </w:p>
        </w:tc>
        <w:tc>
          <w:tcPr>
            <w:tcW w:w="0" w:type="auto"/>
            <w:vAlign w:val="center"/>
            <w:hideMark/>
          </w:tcPr>
          <w:p w14:paraId="2B131E13" w14:textId="77777777" w:rsidR="00A3273C" w:rsidRPr="00A3273C" w:rsidRDefault="00A3273C">
            <w:pPr>
              <w:rPr>
                <w:rFonts w:asciiTheme="majorBidi" w:hAnsiTheme="majorBidi" w:cstheme="majorBidi"/>
              </w:rPr>
            </w:pPr>
            <w:r w:rsidRPr="00A3273C">
              <w:rPr>
                <w:rFonts w:asciiTheme="majorBidi" w:hAnsiTheme="majorBidi" w:cstheme="majorBidi"/>
              </w:rPr>
              <w:t>At risk</w:t>
            </w:r>
          </w:p>
        </w:tc>
        <w:tc>
          <w:tcPr>
            <w:tcW w:w="0" w:type="auto"/>
            <w:vAlign w:val="center"/>
            <w:hideMark/>
          </w:tcPr>
          <w:p w14:paraId="1775882F" w14:textId="77777777" w:rsidR="00A3273C" w:rsidRPr="00A3273C" w:rsidRDefault="00A3273C">
            <w:pPr>
              <w:rPr>
                <w:rFonts w:asciiTheme="majorBidi" w:hAnsiTheme="majorBidi" w:cstheme="majorBidi"/>
              </w:rPr>
            </w:pPr>
            <w:r w:rsidRPr="00A3273C">
              <w:rPr>
                <w:rFonts w:asciiTheme="majorBidi" w:hAnsiTheme="majorBidi" w:cstheme="majorBidi"/>
              </w:rPr>
              <w:t>2-week rollout delay</w:t>
            </w:r>
          </w:p>
        </w:tc>
      </w:tr>
      <w:tr w:rsidR="00A3273C" w:rsidRPr="00A3273C" w14:paraId="7BBBD0F7" w14:textId="77777777">
        <w:trPr>
          <w:tblCellSpacing w:w="15" w:type="dxa"/>
        </w:trPr>
        <w:tc>
          <w:tcPr>
            <w:tcW w:w="0" w:type="auto"/>
            <w:vAlign w:val="center"/>
            <w:hideMark/>
          </w:tcPr>
          <w:p w14:paraId="0BE65638" w14:textId="77777777" w:rsidR="00A3273C" w:rsidRPr="00A3273C" w:rsidRDefault="00A3273C">
            <w:pPr>
              <w:rPr>
                <w:rFonts w:asciiTheme="majorBidi" w:hAnsiTheme="majorBidi" w:cstheme="majorBidi"/>
              </w:rPr>
            </w:pPr>
            <w:r w:rsidRPr="00A3273C">
              <w:rPr>
                <w:rFonts w:asciiTheme="majorBidi" w:hAnsiTheme="majorBidi" w:cstheme="majorBidi"/>
              </w:rPr>
              <w:t>Battery R&amp;D</w:t>
            </w:r>
          </w:p>
        </w:tc>
        <w:tc>
          <w:tcPr>
            <w:tcW w:w="0" w:type="auto"/>
            <w:vAlign w:val="center"/>
            <w:hideMark/>
          </w:tcPr>
          <w:p w14:paraId="1E866A81" w14:textId="77777777" w:rsidR="00A3273C" w:rsidRPr="00A3273C" w:rsidRDefault="00A3273C">
            <w:pPr>
              <w:rPr>
                <w:rFonts w:asciiTheme="majorBidi" w:hAnsiTheme="majorBidi" w:cstheme="majorBidi"/>
              </w:rPr>
            </w:pPr>
            <w:r w:rsidRPr="00A3273C">
              <w:rPr>
                <w:rFonts w:asciiTheme="majorBidi" w:hAnsiTheme="majorBidi" w:cstheme="majorBidi"/>
              </w:rPr>
              <w:t>Material sourcing risk</w:t>
            </w:r>
          </w:p>
        </w:tc>
        <w:tc>
          <w:tcPr>
            <w:tcW w:w="0" w:type="auto"/>
            <w:vAlign w:val="center"/>
            <w:hideMark/>
          </w:tcPr>
          <w:p w14:paraId="25B08745" w14:textId="77777777" w:rsidR="00A3273C" w:rsidRPr="00A3273C" w:rsidRDefault="00A3273C">
            <w:pPr>
              <w:rPr>
                <w:rFonts w:asciiTheme="majorBidi" w:hAnsiTheme="majorBidi" w:cstheme="majorBidi"/>
              </w:rPr>
            </w:pPr>
            <w:r w:rsidRPr="00A3273C">
              <w:rPr>
                <w:rFonts w:asciiTheme="majorBidi" w:hAnsiTheme="majorBidi" w:cstheme="majorBidi"/>
              </w:rPr>
              <w:t>Regional instability</w:t>
            </w:r>
          </w:p>
        </w:tc>
        <w:tc>
          <w:tcPr>
            <w:tcW w:w="0" w:type="auto"/>
            <w:vAlign w:val="center"/>
            <w:hideMark/>
          </w:tcPr>
          <w:p w14:paraId="00422295" w14:textId="77777777" w:rsidR="00A3273C" w:rsidRPr="00A3273C" w:rsidRDefault="00A3273C">
            <w:pPr>
              <w:rPr>
                <w:rFonts w:asciiTheme="majorBidi" w:hAnsiTheme="majorBidi" w:cstheme="majorBidi"/>
              </w:rPr>
            </w:pPr>
            <w:r w:rsidRPr="00A3273C">
              <w:rPr>
                <w:rFonts w:asciiTheme="majorBidi" w:hAnsiTheme="majorBidi" w:cstheme="majorBidi"/>
              </w:rPr>
              <w:t>Local supplier partnership</w:t>
            </w:r>
          </w:p>
        </w:tc>
        <w:tc>
          <w:tcPr>
            <w:tcW w:w="0" w:type="auto"/>
            <w:vAlign w:val="center"/>
            <w:hideMark/>
          </w:tcPr>
          <w:p w14:paraId="043570AB" w14:textId="77777777" w:rsidR="00A3273C" w:rsidRPr="00A3273C" w:rsidRDefault="00A3273C">
            <w:pPr>
              <w:rPr>
                <w:rFonts w:asciiTheme="majorBidi" w:hAnsiTheme="majorBidi" w:cstheme="majorBidi"/>
              </w:rPr>
            </w:pPr>
            <w:r w:rsidRPr="00A3273C">
              <w:rPr>
                <w:rFonts w:asciiTheme="majorBidi" w:hAnsiTheme="majorBidi" w:cstheme="majorBidi"/>
              </w:rPr>
              <w:t>Monitoring</w:t>
            </w:r>
          </w:p>
        </w:tc>
        <w:tc>
          <w:tcPr>
            <w:tcW w:w="0" w:type="auto"/>
            <w:vAlign w:val="center"/>
            <w:hideMark/>
          </w:tcPr>
          <w:p w14:paraId="11300EFE" w14:textId="77777777" w:rsidR="00A3273C" w:rsidRPr="00A3273C" w:rsidRDefault="00A3273C">
            <w:pPr>
              <w:rPr>
                <w:rFonts w:asciiTheme="majorBidi" w:hAnsiTheme="majorBidi" w:cstheme="majorBidi"/>
              </w:rPr>
            </w:pPr>
            <w:r w:rsidRPr="00A3273C">
              <w:rPr>
                <w:rFonts w:asciiTheme="majorBidi" w:hAnsiTheme="majorBidi" w:cstheme="majorBidi"/>
              </w:rPr>
              <w:t>Potential cost increase</w:t>
            </w:r>
          </w:p>
        </w:tc>
      </w:tr>
    </w:tbl>
    <w:p w14:paraId="6F4C9192"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059FC4CB">
          <v:rect id="_x0000_i1028" alt="" style="width:468pt;height:.05pt;mso-width-percent:0;mso-height-percent:0;mso-width-percent:0;mso-height-percent:0" o:hralign="center" o:hrstd="t" o:hr="t" fillcolor="#a0a0a0" stroked="f"/>
        </w:pict>
      </w:r>
    </w:p>
    <w:p w14:paraId="67797D9B" w14:textId="77777777" w:rsidR="00A3273C" w:rsidRPr="009C6B9E" w:rsidRDefault="00A3273C" w:rsidP="00A3273C">
      <w:pPr>
        <w:pStyle w:val="Heading3"/>
        <w:rPr>
          <w:rFonts w:asciiTheme="majorBidi" w:hAnsiTheme="majorBidi"/>
          <w:b/>
          <w:bCs/>
          <w:color w:val="000000"/>
        </w:rPr>
      </w:pPr>
      <w:r w:rsidRPr="009C6B9E">
        <w:rPr>
          <w:rFonts w:asciiTheme="majorBidi" w:hAnsiTheme="majorBidi"/>
          <w:b/>
          <w:bCs/>
          <w:color w:val="000000"/>
        </w:rPr>
        <w:t>5.</w:t>
      </w:r>
      <w:r w:rsidRPr="009C6B9E">
        <w:rPr>
          <w:rStyle w:val="apple-converted-space"/>
          <w:rFonts w:asciiTheme="majorBidi" w:hAnsiTheme="majorBidi"/>
          <w:b/>
          <w:bCs/>
          <w:color w:val="000000"/>
        </w:rPr>
        <w:t> </w:t>
      </w:r>
      <w:r w:rsidRPr="009C6B9E">
        <w:rPr>
          <w:rStyle w:val="Strong"/>
          <w:rFonts w:asciiTheme="majorBidi" w:hAnsiTheme="majorBidi"/>
          <w:b w:val="0"/>
          <w:bCs w:val="0"/>
          <w:color w:val="000000"/>
        </w:rPr>
        <w:t>Strategic Actions to Mitigate Geopolitical Risk</w:t>
      </w:r>
    </w:p>
    <w:p w14:paraId="3AD48EFB" w14:textId="77777777" w:rsidR="00A3273C" w:rsidRPr="00A3273C" w:rsidRDefault="00A3273C" w:rsidP="00A3273C">
      <w:pPr>
        <w:pStyle w:val="NormalWeb"/>
        <w:numPr>
          <w:ilvl w:val="0"/>
          <w:numId w:val="14"/>
        </w:numPr>
        <w:rPr>
          <w:rFonts w:asciiTheme="majorBidi" w:hAnsiTheme="majorBidi" w:cstheme="majorBidi"/>
          <w:color w:val="000000"/>
        </w:rPr>
      </w:pPr>
      <w:r w:rsidRPr="00A3273C">
        <w:rPr>
          <w:rStyle w:val="Strong"/>
          <w:rFonts w:asciiTheme="majorBidi" w:eastAsiaTheme="majorEastAsia" w:hAnsiTheme="majorBidi" w:cstheme="majorBidi"/>
          <w:color w:val="000000"/>
        </w:rPr>
        <w:t>Diversify Suppliers &amp; Regions:</w:t>
      </w:r>
      <w:r w:rsidRPr="00A3273C">
        <w:rPr>
          <w:rStyle w:val="apple-converted-space"/>
          <w:rFonts w:asciiTheme="majorBidi" w:eastAsiaTheme="majorEastAsia" w:hAnsiTheme="majorBidi" w:cstheme="majorBidi"/>
          <w:color w:val="000000"/>
        </w:rPr>
        <w:t> </w:t>
      </w:r>
      <w:r w:rsidRPr="00A3273C">
        <w:rPr>
          <w:rFonts w:asciiTheme="majorBidi" w:hAnsiTheme="majorBidi" w:cstheme="majorBidi"/>
          <w:color w:val="000000"/>
        </w:rPr>
        <w:t>Avoid concentration in high-risk jurisdictions.</w:t>
      </w:r>
    </w:p>
    <w:p w14:paraId="077E0DB3" w14:textId="77777777" w:rsidR="00A3273C" w:rsidRPr="00A3273C" w:rsidRDefault="00A3273C" w:rsidP="00A3273C">
      <w:pPr>
        <w:pStyle w:val="NormalWeb"/>
        <w:numPr>
          <w:ilvl w:val="0"/>
          <w:numId w:val="14"/>
        </w:numPr>
        <w:rPr>
          <w:rFonts w:asciiTheme="majorBidi" w:hAnsiTheme="majorBidi" w:cstheme="majorBidi"/>
          <w:color w:val="000000"/>
        </w:rPr>
      </w:pPr>
      <w:r w:rsidRPr="00A3273C">
        <w:rPr>
          <w:rStyle w:val="Strong"/>
          <w:rFonts w:asciiTheme="majorBidi" w:eastAsiaTheme="majorEastAsia" w:hAnsiTheme="majorBidi" w:cstheme="majorBidi"/>
          <w:color w:val="000000"/>
        </w:rPr>
        <w:t>Scenario Planning:</w:t>
      </w:r>
      <w:r w:rsidRPr="00A3273C">
        <w:rPr>
          <w:rStyle w:val="apple-converted-space"/>
          <w:rFonts w:asciiTheme="majorBidi" w:eastAsiaTheme="majorEastAsia" w:hAnsiTheme="majorBidi" w:cstheme="majorBidi"/>
          <w:color w:val="000000"/>
        </w:rPr>
        <w:t> </w:t>
      </w:r>
      <w:r w:rsidRPr="00A3273C">
        <w:rPr>
          <w:rFonts w:asciiTheme="majorBidi" w:hAnsiTheme="majorBidi" w:cstheme="majorBidi"/>
          <w:color w:val="000000"/>
        </w:rPr>
        <w:t>Model project timelines under geopolitical disruption scenarios.</w:t>
      </w:r>
    </w:p>
    <w:p w14:paraId="09E04FB1" w14:textId="77777777" w:rsidR="00A3273C" w:rsidRPr="00A3273C" w:rsidRDefault="00A3273C" w:rsidP="00A3273C">
      <w:pPr>
        <w:pStyle w:val="NormalWeb"/>
        <w:numPr>
          <w:ilvl w:val="0"/>
          <w:numId w:val="14"/>
        </w:numPr>
        <w:rPr>
          <w:rFonts w:asciiTheme="majorBidi" w:hAnsiTheme="majorBidi" w:cstheme="majorBidi"/>
          <w:color w:val="000000"/>
        </w:rPr>
      </w:pPr>
      <w:r w:rsidRPr="00A3273C">
        <w:rPr>
          <w:rStyle w:val="Strong"/>
          <w:rFonts w:asciiTheme="majorBidi" w:eastAsiaTheme="majorEastAsia" w:hAnsiTheme="majorBidi" w:cstheme="majorBidi"/>
          <w:color w:val="000000"/>
        </w:rPr>
        <w:t>Regulatory &amp; Legal Monitoring:</w:t>
      </w:r>
      <w:r w:rsidRPr="00A3273C">
        <w:rPr>
          <w:rStyle w:val="apple-converted-space"/>
          <w:rFonts w:asciiTheme="majorBidi" w:eastAsiaTheme="majorEastAsia" w:hAnsiTheme="majorBidi" w:cstheme="majorBidi"/>
          <w:color w:val="000000"/>
        </w:rPr>
        <w:t> </w:t>
      </w:r>
      <w:r w:rsidRPr="00A3273C">
        <w:rPr>
          <w:rFonts w:asciiTheme="majorBidi" w:hAnsiTheme="majorBidi" w:cstheme="majorBidi"/>
          <w:color w:val="000000"/>
        </w:rPr>
        <w:t>Ensure compliance with trade restrictions, sanctions, and IP rules.</w:t>
      </w:r>
    </w:p>
    <w:p w14:paraId="7D5DED99" w14:textId="77777777" w:rsidR="00A3273C" w:rsidRPr="00A3273C" w:rsidRDefault="00A3273C" w:rsidP="00A3273C">
      <w:pPr>
        <w:pStyle w:val="NormalWeb"/>
        <w:numPr>
          <w:ilvl w:val="0"/>
          <w:numId w:val="14"/>
        </w:numPr>
        <w:rPr>
          <w:rFonts w:asciiTheme="majorBidi" w:hAnsiTheme="majorBidi" w:cstheme="majorBidi"/>
          <w:color w:val="000000"/>
        </w:rPr>
      </w:pPr>
      <w:r w:rsidRPr="00A3273C">
        <w:rPr>
          <w:rStyle w:val="Strong"/>
          <w:rFonts w:asciiTheme="majorBidi" w:eastAsiaTheme="majorEastAsia" w:hAnsiTheme="majorBidi" w:cstheme="majorBidi"/>
          <w:color w:val="000000"/>
        </w:rPr>
        <w:t>Regional Partnerships:</w:t>
      </w:r>
      <w:r w:rsidRPr="00A3273C">
        <w:rPr>
          <w:rStyle w:val="apple-converted-space"/>
          <w:rFonts w:asciiTheme="majorBidi" w:eastAsiaTheme="majorEastAsia" w:hAnsiTheme="majorBidi" w:cstheme="majorBidi"/>
          <w:color w:val="000000"/>
        </w:rPr>
        <w:t> </w:t>
      </w:r>
      <w:r w:rsidRPr="00A3273C">
        <w:rPr>
          <w:rFonts w:asciiTheme="majorBidi" w:hAnsiTheme="majorBidi" w:cstheme="majorBidi"/>
          <w:color w:val="000000"/>
        </w:rPr>
        <w:t>Establish trusted partnerships and local alliances.</w:t>
      </w:r>
    </w:p>
    <w:p w14:paraId="1770FE8C" w14:textId="77777777" w:rsidR="00A3273C" w:rsidRPr="00A3273C" w:rsidRDefault="00A3273C" w:rsidP="00A3273C">
      <w:pPr>
        <w:pStyle w:val="NormalWeb"/>
        <w:numPr>
          <w:ilvl w:val="0"/>
          <w:numId w:val="14"/>
        </w:numPr>
        <w:rPr>
          <w:rFonts w:asciiTheme="majorBidi" w:hAnsiTheme="majorBidi" w:cstheme="majorBidi"/>
          <w:color w:val="000000"/>
        </w:rPr>
      </w:pPr>
      <w:r w:rsidRPr="00A3273C">
        <w:rPr>
          <w:rStyle w:val="Strong"/>
          <w:rFonts w:asciiTheme="majorBidi" w:eastAsiaTheme="majorEastAsia" w:hAnsiTheme="majorBidi" w:cstheme="majorBidi"/>
          <w:color w:val="000000"/>
        </w:rPr>
        <w:t>Adaptive Program Design:</w:t>
      </w:r>
      <w:r w:rsidRPr="00A3273C">
        <w:rPr>
          <w:rStyle w:val="apple-converted-space"/>
          <w:rFonts w:asciiTheme="majorBidi" w:eastAsiaTheme="majorEastAsia" w:hAnsiTheme="majorBidi" w:cstheme="majorBidi"/>
          <w:color w:val="000000"/>
        </w:rPr>
        <w:t> </w:t>
      </w:r>
      <w:r w:rsidRPr="00A3273C">
        <w:rPr>
          <w:rFonts w:asciiTheme="majorBidi" w:hAnsiTheme="majorBidi" w:cstheme="majorBidi"/>
          <w:color w:val="000000"/>
        </w:rPr>
        <w:t>Modular products and flexible supply chains reduce dependency risk.</w:t>
      </w:r>
    </w:p>
    <w:p w14:paraId="64E1ECFD"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3774131D">
          <v:rect id="_x0000_i1027" alt="" style="width:468pt;height:.05pt;mso-width-percent:0;mso-height-percent:0;mso-width-percent:0;mso-height-percent:0" o:hralign="center" o:hrstd="t" o:hr="t" fillcolor="#a0a0a0" stroked="f"/>
        </w:pict>
      </w:r>
    </w:p>
    <w:p w14:paraId="4A4DA596" w14:textId="77777777" w:rsidR="00A3273C" w:rsidRPr="009C6B9E" w:rsidRDefault="00A3273C" w:rsidP="00A3273C">
      <w:pPr>
        <w:pStyle w:val="Heading3"/>
        <w:rPr>
          <w:rFonts w:asciiTheme="majorBidi" w:hAnsiTheme="majorBidi"/>
          <w:b/>
          <w:bCs/>
          <w:color w:val="000000"/>
        </w:rPr>
      </w:pPr>
      <w:r w:rsidRPr="009C6B9E">
        <w:rPr>
          <w:rFonts w:asciiTheme="majorBidi" w:hAnsiTheme="majorBidi"/>
          <w:b/>
          <w:bCs/>
          <w:color w:val="000000"/>
        </w:rPr>
        <w:t>6.</w:t>
      </w:r>
      <w:r w:rsidRPr="009C6B9E">
        <w:rPr>
          <w:rStyle w:val="apple-converted-space"/>
          <w:rFonts w:asciiTheme="majorBidi" w:hAnsiTheme="majorBidi"/>
          <w:b/>
          <w:bCs/>
          <w:color w:val="000000"/>
        </w:rPr>
        <w:t> </w:t>
      </w:r>
      <w:r w:rsidRPr="009C6B9E">
        <w:rPr>
          <w:rStyle w:val="Strong"/>
          <w:rFonts w:asciiTheme="majorBidi" w:hAnsiTheme="majorBidi"/>
          <w:b w:val="0"/>
          <w:bCs w:val="0"/>
          <w:color w:val="000000"/>
        </w:rPr>
        <w:t>Emerging Opportunities</w:t>
      </w:r>
    </w:p>
    <w:p w14:paraId="1FD6591D" w14:textId="77777777" w:rsidR="00A3273C" w:rsidRPr="00A3273C" w:rsidRDefault="00A3273C" w:rsidP="00A3273C">
      <w:pPr>
        <w:pStyle w:val="NormalWeb"/>
        <w:numPr>
          <w:ilvl w:val="0"/>
          <w:numId w:val="15"/>
        </w:numPr>
        <w:rPr>
          <w:rFonts w:asciiTheme="majorBidi" w:hAnsiTheme="majorBidi" w:cstheme="majorBidi"/>
          <w:color w:val="000000"/>
        </w:rPr>
      </w:pPr>
      <w:r w:rsidRPr="00A3273C">
        <w:rPr>
          <w:rFonts w:asciiTheme="majorBidi" w:hAnsiTheme="majorBidi" w:cstheme="majorBidi"/>
          <w:color w:val="000000"/>
        </w:rPr>
        <w:t>Accelerate regional or “friend-shore” R&amp;D collaborations.</w:t>
      </w:r>
    </w:p>
    <w:p w14:paraId="7D257D68" w14:textId="77777777" w:rsidR="00A3273C" w:rsidRPr="00A3273C" w:rsidRDefault="00A3273C" w:rsidP="00A3273C">
      <w:pPr>
        <w:pStyle w:val="NormalWeb"/>
        <w:numPr>
          <w:ilvl w:val="0"/>
          <w:numId w:val="15"/>
        </w:numPr>
        <w:rPr>
          <w:rFonts w:asciiTheme="majorBidi" w:hAnsiTheme="majorBidi" w:cstheme="majorBidi"/>
          <w:color w:val="000000"/>
        </w:rPr>
      </w:pPr>
      <w:r w:rsidRPr="00A3273C">
        <w:rPr>
          <w:rFonts w:asciiTheme="majorBidi" w:hAnsiTheme="majorBidi" w:cstheme="majorBidi"/>
          <w:color w:val="000000"/>
        </w:rPr>
        <w:t>Leverage geopolitical insights to identify resilient supply networks.</w:t>
      </w:r>
    </w:p>
    <w:p w14:paraId="2248F0C0" w14:textId="77777777" w:rsidR="00A3273C" w:rsidRPr="00A3273C" w:rsidRDefault="00A3273C" w:rsidP="00A3273C">
      <w:pPr>
        <w:pStyle w:val="NormalWeb"/>
        <w:numPr>
          <w:ilvl w:val="0"/>
          <w:numId w:val="15"/>
        </w:numPr>
        <w:rPr>
          <w:rFonts w:asciiTheme="majorBidi" w:hAnsiTheme="majorBidi" w:cstheme="majorBidi"/>
          <w:color w:val="000000"/>
        </w:rPr>
      </w:pPr>
      <w:r w:rsidRPr="00A3273C">
        <w:rPr>
          <w:rFonts w:asciiTheme="majorBidi" w:hAnsiTheme="majorBidi" w:cstheme="majorBidi"/>
          <w:color w:val="000000"/>
        </w:rPr>
        <w:t>Build competitive advantage through rapid compliance and risk mitigation expertise.</w:t>
      </w:r>
    </w:p>
    <w:p w14:paraId="6348B3DD"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156F341D">
          <v:rect id="_x0000_i1026" alt="" style="width:468pt;height:.05pt;mso-width-percent:0;mso-height-percent:0;mso-width-percent:0;mso-height-percent:0" o:hralign="center" o:hrstd="t" o:hr="t" fillcolor="#a0a0a0" stroked="f"/>
        </w:pict>
      </w:r>
    </w:p>
    <w:p w14:paraId="77291560" w14:textId="77777777" w:rsidR="00A3273C" w:rsidRPr="00A3273C" w:rsidRDefault="00A3273C" w:rsidP="00A3273C">
      <w:pPr>
        <w:pStyle w:val="Heading3"/>
        <w:rPr>
          <w:rFonts w:asciiTheme="majorBidi" w:hAnsiTheme="majorBidi"/>
          <w:color w:val="000000"/>
        </w:rPr>
      </w:pPr>
      <w:r w:rsidRPr="00A3273C">
        <w:rPr>
          <w:rFonts w:asciiTheme="majorBidi" w:hAnsiTheme="majorBidi"/>
          <w:color w:val="000000"/>
        </w:rPr>
        <w:t>7.</w:t>
      </w:r>
      <w:r w:rsidRPr="00A3273C">
        <w:rPr>
          <w:rStyle w:val="apple-converted-space"/>
          <w:rFonts w:asciiTheme="majorBidi" w:hAnsiTheme="majorBidi"/>
          <w:color w:val="000000"/>
        </w:rPr>
        <w:t> </w:t>
      </w:r>
      <w:r w:rsidRPr="00A3273C">
        <w:rPr>
          <w:rStyle w:val="Strong"/>
          <w:rFonts w:asciiTheme="majorBidi" w:hAnsiTheme="majorBidi"/>
          <w:b w:val="0"/>
          <w:bCs w:val="0"/>
          <w:color w:val="000000"/>
        </w:rPr>
        <w:t>Next Steps &amp; Action Items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8"/>
        <w:gridCol w:w="4666"/>
        <w:gridCol w:w="1154"/>
        <w:gridCol w:w="1175"/>
      </w:tblGrid>
      <w:tr w:rsidR="00A3273C" w:rsidRPr="00A3273C" w14:paraId="41A1FEF0" w14:textId="77777777">
        <w:trPr>
          <w:tblHeader/>
          <w:tblCellSpacing w:w="15" w:type="dxa"/>
        </w:trPr>
        <w:tc>
          <w:tcPr>
            <w:tcW w:w="0" w:type="auto"/>
            <w:vAlign w:val="center"/>
            <w:hideMark/>
          </w:tcPr>
          <w:p w14:paraId="7E25F9E2"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Owner</w:t>
            </w:r>
          </w:p>
        </w:tc>
        <w:tc>
          <w:tcPr>
            <w:tcW w:w="0" w:type="auto"/>
            <w:vAlign w:val="center"/>
            <w:hideMark/>
          </w:tcPr>
          <w:p w14:paraId="11F0569B"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Action</w:t>
            </w:r>
          </w:p>
        </w:tc>
        <w:tc>
          <w:tcPr>
            <w:tcW w:w="0" w:type="auto"/>
            <w:vAlign w:val="center"/>
            <w:hideMark/>
          </w:tcPr>
          <w:p w14:paraId="4C372364"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Due Date</w:t>
            </w:r>
          </w:p>
        </w:tc>
        <w:tc>
          <w:tcPr>
            <w:tcW w:w="0" w:type="auto"/>
            <w:vAlign w:val="center"/>
            <w:hideMark/>
          </w:tcPr>
          <w:p w14:paraId="7A559E2C" w14:textId="77777777" w:rsidR="00A3273C" w:rsidRPr="00A3273C" w:rsidRDefault="00A3273C">
            <w:pPr>
              <w:jc w:val="center"/>
              <w:rPr>
                <w:rFonts w:asciiTheme="majorBidi" w:hAnsiTheme="majorBidi" w:cstheme="majorBidi"/>
                <w:b/>
                <w:bCs/>
              </w:rPr>
            </w:pPr>
            <w:r w:rsidRPr="00A3273C">
              <w:rPr>
                <w:rFonts w:asciiTheme="majorBidi" w:hAnsiTheme="majorBidi" w:cstheme="majorBidi"/>
                <w:b/>
                <w:bCs/>
              </w:rPr>
              <w:t>Status</w:t>
            </w:r>
          </w:p>
        </w:tc>
      </w:tr>
      <w:tr w:rsidR="00A3273C" w:rsidRPr="00A3273C" w14:paraId="663EFBE0" w14:textId="77777777">
        <w:trPr>
          <w:tblCellSpacing w:w="15" w:type="dxa"/>
        </w:trPr>
        <w:tc>
          <w:tcPr>
            <w:tcW w:w="0" w:type="auto"/>
            <w:vAlign w:val="center"/>
            <w:hideMark/>
          </w:tcPr>
          <w:p w14:paraId="7EBE07E3" w14:textId="77777777" w:rsidR="00A3273C" w:rsidRPr="00A3273C" w:rsidRDefault="00A3273C">
            <w:pPr>
              <w:rPr>
                <w:rFonts w:asciiTheme="majorBidi" w:hAnsiTheme="majorBidi" w:cstheme="majorBidi"/>
              </w:rPr>
            </w:pPr>
            <w:r w:rsidRPr="00A3273C">
              <w:rPr>
                <w:rFonts w:asciiTheme="majorBidi" w:hAnsiTheme="majorBidi" w:cstheme="majorBidi"/>
              </w:rPr>
              <w:t>CIO</w:t>
            </w:r>
          </w:p>
        </w:tc>
        <w:tc>
          <w:tcPr>
            <w:tcW w:w="0" w:type="auto"/>
            <w:vAlign w:val="center"/>
            <w:hideMark/>
          </w:tcPr>
          <w:p w14:paraId="5B419356" w14:textId="77777777" w:rsidR="00A3273C" w:rsidRPr="00A3273C" w:rsidRDefault="00A3273C">
            <w:pPr>
              <w:rPr>
                <w:rFonts w:asciiTheme="majorBidi" w:hAnsiTheme="majorBidi" w:cstheme="majorBidi"/>
              </w:rPr>
            </w:pPr>
            <w:r w:rsidRPr="00A3273C">
              <w:rPr>
                <w:rFonts w:asciiTheme="majorBidi" w:hAnsiTheme="majorBidi" w:cstheme="majorBidi"/>
              </w:rPr>
              <w:t>Approve regional supplier diversification plan</w:t>
            </w:r>
          </w:p>
        </w:tc>
        <w:tc>
          <w:tcPr>
            <w:tcW w:w="0" w:type="auto"/>
            <w:vAlign w:val="center"/>
            <w:hideMark/>
          </w:tcPr>
          <w:p w14:paraId="7DBE3E74" w14:textId="77777777" w:rsidR="00A3273C" w:rsidRPr="00A3273C" w:rsidRDefault="00A3273C">
            <w:pPr>
              <w:rPr>
                <w:rFonts w:asciiTheme="majorBidi" w:hAnsiTheme="majorBidi" w:cstheme="majorBidi"/>
              </w:rPr>
            </w:pPr>
            <w:r w:rsidRPr="00A3273C">
              <w:rPr>
                <w:rFonts w:asciiTheme="majorBidi" w:hAnsiTheme="majorBidi" w:cstheme="majorBidi"/>
              </w:rPr>
              <w:t>12/20/2025</w:t>
            </w:r>
          </w:p>
        </w:tc>
        <w:tc>
          <w:tcPr>
            <w:tcW w:w="0" w:type="auto"/>
            <w:vAlign w:val="center"/>
            <w:hideMark/>
          </w:tcPr>
          <w:p w14:paraId="066EDDC8" w14:textId="77777777" w:rsidR="00A3273C" w:rsidRPr="00A3273C" w:rsidRDefault="00A3273C">
            <w:pPr>
              <w:rPr>
                <w:rFonts w:asciiTheme="majorBidi" w:hAnsiTheme="majorBidi" w:cstheme="majorBidi"/>
              </w:rPr>
            </w:pPr>
            <w:r w:rsidRPr="00A3273C">
              <w:rPr>
                <w:rFonts w:asciiTheme="majorBidi" w:hAnsiTheme="majorBidi" w:cstheme="majorBidi"/>
              </w:rPr>
              <w:t>Pending</w:t>
            </w:r>
          </w:p>
        </w:tc>
      </w:tr>
      <w:tr w:rsidR="00A3273C" w:rsidRPr="00A3273C" w14:paraId="74B9630F" w14:textId="77777777">
        <w:trPr>
          <w:tblCellSpacing w:w="15" w:type="dxa"/>
        </w:trPr>
        <w:tc>
          <w:tcPr>
            <w:tcW w:w="0" w:type="auto"/>
            <w:vAlign w:val="center"/>
            <w:hideMark/>
          </w:tcPr>
          <w:p w14:paraId="19519F63" w14:textId="77777777" w:rsidR="00A3273C" w:rsidRPr="00A3273C" w:rsidRDefault="00A3273C">
            <w:pPr>
              <w:rPr>
                <w:rFonts w:asciiTheme="majorBidi" w:hAnsiTheme="majorBidi" w:cstheme="majorBidi"/>
              </w:rPr>
            </w:pPr>
            <w:r w:rsidRPr="00A3273C">
              <w:rPr>
                <w:rFonts w:asciiTheme="majorBidi" w:hAnsiTheme="majorBidi" w:cstheme="majorBidi"/>
              </w:rPr>
              <w:lastRenderedPageBreak/>
              <w:t>Supply Chain Lead</w:t>
            </w:r>
          </w:p>
        </w:tc>
        <w:tc>
          <w:tcPr>
            <w:tcW w:w="0" w:type="auto"/>
            <w:vAlign w:val="center"/>
            <w:hideMark/>
          </w:tcPr>
          <w:p w14:paraId="6B5C58BA" w14:textId="77777777" w:rsidR="00A3273C" w:rsidRPr="00A3273C" w:rsidRDefault="00A3273C">
            <w:pPr>
              <w:rPr>
                <w:rFonts w:asciiTheme="majorBidi" w:hAnsiTheme="majorBidi" w:cstheme="majorBidi"/>
              </w:rPr>
            </w:pPr>
            <w:r w:rsidRPr="00A3273C">
              <w:rPr>
                <w:rFonts w:asciiTheme="majorBidi" w:hAnsiTheme="majorBidi" w:cstheme="majorBidi"/>
              </w:rPr>
              <w:t>Map top 50 geopolitically sensitive components</w:t>
            </w:r>
          </w:p>
        </w:tc>
        <w:tc>
          <w:tcPr>
            <w:tcW w:w="0" w:type="auto"/>
            <w:vAlign w:val="center"/>
            <w:hideMark/>
          </w:tcPr>
          <w:p w14:paraId="50C4C783" w14:textId="77777777" w:rsidR="00A3273C" w:rsidRPr="00A3273C" w:rsidRDefault="00A3273C">
            <w:pPr>
              <w:rPr>
                <w:rFonts w:asciiTheme="majorBidi" w:hAnsiTheme="majorBidi" w:cstheme="majorBidi"/>
              </w:rPr>
            </w:pPr>
            <w:r w:rsidRPr="00A3273C">
              <w:rPr>
                <w:rFonts w:asciiTheme="majorBidi" w:hAnsiTheme="majorBidi" w:cstheme="majorBidi"/>
              </w:rPr>
              <w:t>12/15/2025</w:t>
            </w:r>
          </w:p>
        </w:tc>
        <w:tc>
          <w:tcPr>
            <w:tcW w:w="0" w:type="auto"/>
            <w:vAlign w:val="center"/>
            <w:hideMark/>
          </w:tcPr>
          <w:p w14:paraId="2826D4AB" w14:textId="77777777" w:rsidR="00A3273C" w:rsidRPr="00A3273C" w:rsidRDefault="00A3273C">
            <w:pPr>
              <w:rPr>
                <w:rFonts w:asciiTheme="majorBidi" w:hAnsiTheme="majorBidi" w:cstheme="majorBidi"/>
              </w:rPr>
            </w:pPr>
            <w:r w:rsidRPr="00A3273C">
              <w:rPr>
                <w:rFonts w:asciiTheme="majorBidi" w:hAnsiTheme="majorBidi" w:cstheme="majorBidi"/>
              </w:rPr>
              <w:t>In Progress</w:t>
            </w:r>
          </w:p>
        </w:tc>
      </w:tr>
      <w:tr w:rsidR="00A3273C" w:rsidRPr="00A3273C" w14:paraId="34AEB68A" w14:textId="77777777">
        <w:trPr>
          <w:tblCellSpacing w:w="15" w:type="dxa"/>
        </w:trPr>
        <w:tc>
          <w:tcPr>
            <w:tcW w:w="0" w:type="auto"/>
            <w:vAlign w:val="center"/>
            <w:hideMark/>
          </w:tcPr>
          <w:p w14:paraId="071A2679" w14:textId="77777777" w:rsidR="00A3273C" w:rsidRPr="00A3273C" w:rsidRDefault="00A3273C">
            <w:pPr>
              <w:rPr>
                <w:rFonts w:asciiTheme="majorBidi" w:hAnsiTheme="majorBidi" w:cstheme="majorBidi"/>
              </w:rPr>
            </w:pPr>
            <w:r w:rsidRPr="00A3273C">
              <w:rPr>
                <w:rFonts w:asciiTheme="majorBidi" w:hAnsiTheme="majorBidi" w:cstheme="majorBidi"/>
              </w:rPr>
              <w:t>R&amp;D Director</w:t>
            </w:r>
          </w:p>
        </w:tc>
        <w:tc>
          <w:tcPr>
            <w:tcW w:w="0" w:type="auto"/>
            <w:vAlign w:val="center"/>
            <w:hideMark/>
          </w:tcPr>
          <w:p w14:paraId="1142925A" w14:textId="77777777" w:rsidR="00A3273C" w:rsidRPr="00A3273C" w:rsidRDefault="00A3273C">
            <w:pPr>
              <w:rPr>
                <w:rFonts w:asciiTheme="majorBidi" w:hAnsiTheme="majorBidi" w:cstheme="majorBidi"/>
              </w:rPr>
            </w:pPr>
            <w:r w:rsidRPr="00A3273C">
              <w:rPr>
                <w:rFonts w:asciiTheme="majorBidi" w:hAnsiTheme="majorBidi" w:cstheme="majorBidi"/>
              </w:rPr>
              <w:t>Evaluate alternative materials and regions</w:t>
            </w:r>
          </w:p>
        </w:tc>
        <w:tc>
          <w:tcPr>
            <w:tcW w:w="0" w:type="auto"/>
            <w:vAlign w:val="center"/>
            <w:hideMark/>
          </w:tcPr>
          <w:p w14:paraId="41F5487C" w14:textId="77777777" w:rsidR="00A3273C" w:rsidRPr="00A3273C" w:rsidRDefault="00A3273C">
            <w:pPr>
              <w:rPr>
                <w:rFonts w:asciiTheme="majorBidi" w:hAnsiTheme="majorBidi" w:cstheme="majorBidi"/>
              </w:rPr>
            </w:pPr>
            <w:r w:rsidRPr="00A3273C">
              <w:rPr>
                <w:rFonts w:asciiTheme="majorBidi" w:hAnsiTheme="majorBidi" w:cstheme="majorBidi"/>
              </w:rPr>
              <w:t>01/10/2026</w:t>
            </w:r>
          </w:p>
        </w:tc>
        <w:tc>
          <w:tcPr>
            <w:tcW w:w="0" w:type="auto"/>
            <w:vAlign w:val="center"/>
            <w:hideMark/>
          </w:tcPr>
          <w:p w14:paraId="79EA82F4" w14:textId="77777777" w:rsidR="00A3273C" w:rsidRPr="00A3273C" w:rsidRDefault="00A3273C">
            <w:pPr>
              <w:rPr>
                <w:rFonts w:asciiTheme="majorBidi" w:hAnsiTheme="majorBidi" w:cstheme="majorBidi"/>
              </w:rPr>
            </w:pPr>
            <w:r w:rsidRPr="00A3273C">
              <w:rPr>
                <w:rFonts w:asciiTheme="majorBidi" w:hAnsiTheme="majorBidi" w:cstheme="majorBidi"/>
              </w:rPr>
              <w:t>Not Started</w:t>
            </w:r>
          </w:p>
        </w:tc>
      </w:tr>
      <w:tr w:rsidR="00A3273C" w:rsidRPr="00A3273C" w14:paraId="12B38B55" w14:textId="77777777">
        <w:trPr>
          <w:tblCellSpacing w:w="15" w:type="dxa"/>
        </w:trPr>
        <w:tc>
          <w:tcPr>
            <w:tcW w:w="0" w:type="auto"/>
            <w:vAlign w:val="center"/>
            <w:hideMark/>
          </w:tcPr>
          <w:p w14:paraId="2D9D9530" w14:textId="77777777" w:rsidR="00A3273C" w:rsidRPr="00A3273C" w:rsidRDefault="00A3273C">
            <w:pPr>
              <w:rPr>
                <w:rFonts w:asciiTheme="majorBidi" w:hAnsiTheme="majorBidi" w:cstheme="majorBidi"/>
              </w:rPr>
            </w:pPr>
            <w:r w:rsidRPr="00A3273C">
              <w:rPr>
                <w:rFonts w:asciiTheme="majorBidi" w:hAnsiTheme="majorBidi" w:cstheme="majorBidi"/>
              </w:rPr>
              <w:t>Legal / Compliance</w:t>
            </w:r>
          </w:p>
        </w:tc>
        <w:tc>
          <w:tcPr>
            <w:tcW w:w="0" w:type="auto"/>
            <w:vAlign w:val="center"/>
            <w:hideMark/>
          </w:tcPr>
          <w:p w14:paraId="1171301A" w14:textId="77777777" w:rsidR="00A3273C" w:rsidRPr="00A3273C" w:rsidRDefault="00A3273C">
            <w:pPr>
              <w:rPr>
                <w:rFonts w:asciiTheme="majorBidi" w:hAnsiTheme="majorBidi" w:cstheme="majorBidi"/>
              </w:rPr>
            </w:pPr>
            <w:r w:rsidRPr="00A3273C">
              <w:rPr>
                <w:rFonts w:asciiTheme="majorBidi" w:hAnsiTheme="majorBidi" w:cstheme="majorBidi"/>
              </w:rPr>
              <w:t>Monitor sanctions &amp; export restrictions</w:t>
            </w:r>
          </w:p>
        </w:tc>
        <w:tc>
          <w:tcPr>
            <w:tcW w:w="0" w:type="auto"/>
            <w:vAlign w:val="center"/>
            <w:hideMark/>
          </w:tcPr>
          <w:p w14:paraId="3E4F0ADF" w14:textId="77777777" w:rsidR="00A3273C" w:rsidRPr="00A3273C" w:rsidRDefault="00A3273C">
            <w:pPr>
              <w:rPr>
                <w:rFonts w:asciiTheme="majorBidi" w:hAnsiTheme="majorBidi" w:cstheme="majorBidi"/>
              </w:rPr>
            </w:pPr>
            <w:r w:rsidRPr="00A3273C">
              <w:rPr>
                <w:rFonts w:asciiTheme="majorBidi" w:hAnsiTheme="majorBidi" w:cstheme="majorBidi"/>
              </w:rPr>
              <w:t>Ongoing</w:t>
            </w:r>
          </w:p>
        </w:tc>
        <w:tc>
          <w:tcPr>
            <w:tcW w:w="0" w:type="auto"/>
            <w:vAlign w:val="center"/>
            <w:hideMark/>
          </w:tcPr>
          <w:p w14:paraId="7960D40A" w14:textId="77777777" w:rsidR="00A3273C" w:rsidRPr="00A3273C" w:rsidRDefault="00A3273C">
            <w:pPr>
              <w:rPr>
                <w:rFonts w:asciiTheme="majorBidi" w:hAnsiTheme="majorBidi" w:cstheme="majorBidi"/>
              </w:rPr>
            </w:pPr>
            <w:r w:rsidRPr="00A3273C">
              <w:rPr>
                <w:rFonts w:asciiTheme="majorBidi" w:hAnsiTheme="majorBidi" w:cstheme="majorBidi"/>
              </w:rPr>
              <w:t>Active</w:t>
            </w:r>
          </w:p>
        </w:tc>
      </w:tr>
    </w:tbl>
    <w:p w14:paraId="0CF4ED8F" w14:textId="77777777" w:rsidR="00A3273C" w:rsidRPr="00A3273C" w:rsidRDefault="0097429E" w:rsidP="00A3273C">
      <w:pPr>
        <w:rPr>
          <w:rFonts w:asciiTheme="majorBidi" w:hAnsiTheme="majorBidi" w:cstheme="majorBidi"/>
        </w:rPr>
      </w:pPr>
      <w:r w:rsidRPr="0097429E">
        <w:rPr>
          <w:rFonts w:asciiTheme="majorBidi" w:hAnsiTheme="majorBidi" w:cstheme="majorBidi"/>
          <w:noProof/>
        </w:rPr>
        <w:pict w14:anchorId="3A0E7991">
          <v:rect id="_x0000_i1025" alt="" style="width:468pt;height:.05pt;mso-width-percent:0;mso-height-percent:0;mso-width-percent:0;mso-height-percent:0" o:hralign="center" o:hrstd="t" o:hr="t" fillcolor="#a0a0a0" stroked="f"/>
        </w:pict>
      </w:r>
    </w:p>
    <w:p w14:paraId="2B4A4AD6" w14:textId="77777777" w:rsidR="00A3273C" w:rsidRPr="00A3273C" w:rsidRDefault="00A3273C" w:rsidP="00A3273C">
      <w:pPr>
        <w:pStyle w:val="Heading3"/>
        <w:rPr>
          <w:rFonts w:asciiTheme="majorBidi" w:hAnsiTheme="majorBidi"/>
          <w:color w:val="000000"/>
        </w:rPr>
      </w:pPr>
      <w:r w:rsidRPr="00A3273C">
        <w:rPr>
          <w:rFonts w:asciiTheme="majorBidi" w:hAnsiTheme="majorBidi"/>
          <w:color w:val="000000"/>
        </w:rPr>
        <w:t>8.</w:t>
      </w:r>
      <w:r w:rsidRPr="00A3273C">
        <w:rPr>
          <w:rStyle w:val="apple-converted-space"/>
          <w:rFonts w:asciiTheme="majorBidi" w:hAnsiTheme="majorBidi"/>
          <w:color w:val="000000"/>
        </w:rPr>
        <w:t> </w:t>
      </w:r>
      <w:r w:rsidRPr="00A3273C">
        <w:rPr>
          <w:rStyle w:val="Strong"/>
          <w:rFonts w:asciiTheme="majorBidi" w:hAnsiTheme="majorBidi"/>
          <w:b w:val="0"/>
          <w:bCs w:val="0"/>
          <w:color w:val="000000"/>
        </w:rPr>
        <w:t>Risk &amp; Escalation Summary</w:t>
      </w:r>
    </w:p>
    <w:p w14:paraId="5C25BCF2" w14:textId="77777777" w:rsidR="00A3273C" w:rsidRPr="00A3273C" w:rsidRDefault="00A3273C" w:rsidP="00A3273C">
      <w:pPr>
        <w:pStyle w:val="NormalWeb"/>
        <w:numPr>
          <w:ilvl w:val="0"/>
          <w:numId w:val="16"/>
        </w:numPr>
        <w:rPr>
          <w:rFonts w:asciiTheme="majorBidi" w:hAnsiTheme="majorBidi" w:cstheme="majorBidi"/>
          <w:color w:val="000000"/>
        </w:rPr>
      </w:pPr>
      <w:r w:rsidRPr="00A3273C">
        <w:rPr>
          <w:rStyle w:val="Strong"/>
          <w:rFonts w:asciiTheme="majorBidi" w:eastAsiaTheme="majorEastAsia" w:hAnsiTheme="majorBidi" w:cstheme="majorBidi"/>
          <w:color w:val="000000"/>
        </w:rPr>
        <w:t>High-risk programs</w:t>
      </w:r>
      <w:r w:rsidRPr="00A3273C">
        <w:rPr>
          <w:rFonts w:asciiTheme="majorBidi" w:hAnsiTheme="majorBidi" w:cstheme="majorBidi"/>
          <w:color w:val="000000"/>
        </w:rPr>
        <w:t>: [List 2–3]</w:t>
      </w:r>
    </w:p>
    <w:p w14:paraId="2ECE7B83" w14:textId="77777777" w:rsidR="00A3273C" w:rsidRPr="00A3273C" w:rsidRDefault="00A3273C" w:rsidP="00A3273C">
      <w:pPr>
        <w:pStyle w:val="NormalWeb"/>
        <w:numPr>
          <w:ilvl w:val="0"/>
          <w:numId w:val="16"/>
        </w:numPr>
        <w:rPr>
          <w:rFonts w:asciiTheme="majorBidi" w:hAnsiTheme="majorBidi" w:cstheme="majorBidi"/>
          <w:color w:val="000000"/>
        </w:rPr>
      </w:pPr>
      <w:r w:rsidRPr="00A3273C">
        <w:rPr>
          <w:rStyle w:val="Strong"/>
          <w:rFonts w:asciiTheme="majorBidi" w:eastAsiaTheme="majorEastAsia" w:hAnsiTheme="majorBidi" w:cstheme="majorBidi"/>
          <w:color w:val="000000"/>
        </w:rPr>
        <w:t>Potential delays next quarter</w:t>
      </w:r>
      <w:r w:rsidRPr="00A3273C">
        <w:rPr>
          <w:rFonts w:asciiTheme="majorBidi" w:hAnsiTheme="majorBidi" w:cstheme="majorBidi"/>
          <w:color w:val="000000"/>
        </w:rPr>
        <w:t>: [List impact in weeks/cost]</w:t>
      </w:r>
    </w:p>
    <w:p w14:paraId="42652423" w14:textId="77777777" w:rsidR="00A3273C" w:rsidRPr="00A3273C" w:rsidRDefault="00A3273C" w:rsidP="00A3273C">
      <w:pPr>
        <w:pStyle w:val="NormalWeb"/>
        <w:numPr>
          <w:ilvl w:val="0"/>
          <w:numId w:val="16"/>
        </w:numPr>
        <w:rPr>
          <w:rFonts w:asciiTheme="majorBidi" w:hAnsiTheme="majorBidi" w:cstheme="majorBidi"/>
          <w:color w:val="000000"/>
        </w:rPr>
      </w:pPr>
      <w:r w:rsidRPr="00A3273C">
        <w:rPr>
          <w:rStyle w:val="Strong"/>
          <w:rFonts w:asciiTheme="majorBidi" w:eastAsiaTheme="majorEastAsia" w:hAnsiTheme="majorBidi" w:cstheme="majorBidi"/>
          <w:color w:val="000000"/>
        </w:rPr>
        <w:t>Escalation needed to Executive Committee</w:t>
      </w:r>
      <w:r w:rsidRPr="00A3273C">
        <w:rPr>
          <w:rFonts w:asciiTheme="majorBidi" w:hAnsiTheme="majorBidi" w:cstheme="majorBidi"/>
          <w:color w:val="000000"/>
        </w:rPr>
        <w:t>: Yes / No</w:t>
      </w:r>
    </w:p>
    <w:p w14:paraId="5B4D2CDE" w14:textId="77777777" w:rsidR="00A3273C" w:rsidRPr="00A3273C" w:rsidRDefault="00A3273C" w:rsidP="00AC1E70">
      <w:pPr>
        <w:spacing w:before="100" w:beforeAutospacing="1" w:after="100" w:afterAutospacing="1" w:line="240" w:lineRule="auto"/>
        <w:rPr>
          <w:rFonts w:asciiTheme="majorBidi" w:eastAsia="Times New Roman" w:hAnsiTheme="majorBidi" w:cstheme="majorBidi"/>
          <w:color w:val="000000"/>
          <w:kern w:val="0"/>
          <w14:ligatures w14:val="none"/>
        </w:rPr>
      </w:pPr>
    </w:p>
    <w:sectPr w:rsidR="00A3273C" w:rsidRPr="00A3273C" w:rsidSect="00BB54D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3E6DB" w14:textId="77777777" w:rsidR="0097429E" w:rsidRDefault="0097429E" w:rsidP="00B07844">
      <w:pPr>
        <w:spacing w:after="0" w:line="240" w:lineRule="auto"/>
      </w:pPr>
      <w:r>
        <w:separator/>
      </w:r>
    </w:p>
  </w:endnote>
  <w:endnote w:type="continuationSeparator" w:id="0">
    <w:p w14:paraId="4CDFEB9B" w14:textId="77777777" w:rsidR="0097429E" w:rsidRDefault="0097429E" w:rsidP="00B0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8190" w14:textId="7CE0ECB0" w:rsidR="00B07844" w:rsidRPr="00B07844" w:rsidRDefault="00B07844" w:rsidP="00B07844">
    <w:pPr>
      <w:pStyle w:val="Footer"/>
      <w:jc w:val="center"/>
      <w:rPr>
        <w:rFonts w:asciiTheme="minorBidi" w:hAnsiTheme="minorBidi"/>
        <w:sz w:val="14"/>
        <w:szCs w:val="14"/>
      </w:rPr>
    </w:pPr>
    <w:r w:rsidRPr="00B07844">
      <w:rPr>
        <w:rFonts w:asciiTheme="minorBidi" w:hAnsiTheme="minorBidi"/>
        <w:sz w:val="14"/>
        <w:szCs w:val="14"/>
      </w:rPr>
      <w:t>Copyright InnoLead 2025. InnoLead members have right to adapt and utilize internally. Do not post or distribute externally.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FA92" w14:textId="77777777" w:rsidR="0097429E" w:rsidRDefault="0097429E" w:rsidP="00B07844">
      <w:pPr>
        <w:spacing w:after="0" w:line="240" w:lineRule="auto"/>
      </w:pPr>
      <w:r>
        <w:separator/>
      </w:r>
    </w:p>
  </w:footnote>
  <w:footnote w:type="continuationSeparator" w:id="0">
    <w:p w14:paraId="182CB963" w14:textId="77777777" w:rsidR="0097429E" w:rsidRDefault="0097429E" w:rsidP="00B07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37F9"/>
    <w:multiLevelType w:val="multilevel"/>
    <w:tmpl w:val="1880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80143"/>
    <w:multiLevelType w:val="multilevel"/>
    <w:tmpl w:val="4090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C3D97"/>
    <w:multiLevelType w:val="multilevel"/>
    <w:tmpl w:val="F4C2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E2584"/>
    <w:multiLevelType w:val="multilevel"/>
    <w:tmpl w:val="F2AC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8376E"/>
    <w:multiLevelType w:val="multilevel"/>
    <w:tmpl w:val="8A0A0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2F1FAC"/>
    <w:multiLevelType w:val="multilevel"/>
    <w:tmpl w:val="A736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443B37"/>
    <w:multiLevelType w:val="multilevel"/>
    <w:tmpl w:val="EAAC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B6A0E"/>
    <w:multiLevelType w:val="multilevel"/>
    <w:tmpl w:val="C61C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11A72"/>
    <w:multiLevelType w:val="multilevel"/>
    <w:tmpl w:val="7AB8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196B9B"/>
    <w:multiLevelType w:val="multilevel"/>
    <w:tmpl w:val="B062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464ECA"/>
    <w:multiLevelType w:val="multilevel"/>
    <w:tmpl w:val="BEA0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660FAA"/>
    <w:multiLevelType w:val="multilevel"/>
    <w:tmpl w:val="5F30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B128E"/>
    <w:multiLevelType w:val="multilevel"/>
    <w:tmpl w:val="1BFCE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970241"/>
    <w:multiLevelType w:val="multilevel"/>
    <w:tmpl w:val="5F40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604804"/>
    <w:multiLevelType w:val="multilevel"/>
    <w:tmpl w:val="F42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885205"/>
    <w:multiLevelType w:val="multilevel"/>
    <w:tmpl w:val="853CE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1352839">
    <w:abstractNumId w:val="15"/>
  </w:num>
  <w:num w:numId="2" w16cid:durableId="358554705">
    <w:abstractNumId w:val="4"/>
  </w:num>
  <w:num w:numId="3" w16cid:durableId="277955053">
    <w:abstractNumId w:val="8"/>
  </w:num>
  <w:num w:numId="4" w16cid:durableId="1834293484">
    <w:abstractNumId w:val="3"/>
  </w:num>
  <w:num w:numId="5" w16cid:durableId="1201437326">
    <w:abstractNumId w:val="7"/>
  </w:num>
  <w:num w:numId="6" w16cid:durableId="1417753312">
    <w:abstractNumId w:val="10"/>
  </w:num>
  <w:num w:numId="7" w16cid:durableId="467477542">
    <w:abstractNumId w:val="12"/>
  </w:num>
  <w:num w:numId="8" w16cid:durableId="355811513">
    <w:abstractNumId w:val="13"/>
  </w:num>
  <w:num w:numId="9" w16cid:durableId="1146816815">
    <w:abstractNumId w:val="14"/>
  </w:num>
  <w:num w:numId="10" w16cid:durableId="1063024873">
    <w:abstractNumId w:val="11"/>
  </w:num>
  <w:num w:numId="11" w16cid:durableId="1295870909">
    <w:abstractNumId w:val="6"/>
  </w:num>
  <w:num w:numId="12" w16cid:durableId="454980432">
    <w:abstractNumId w:val="0"/>
  </w:num>
  <w:num w:numId="13" w16cid:durableId="152334193">
    <w:abstractNumId w:val="2"/>
  </w:num>
  <w:num w:numId="14" w16cid:durableId="198317982">
    <w:abstractNumId w:val="9"/>
  </w:num>
  <w:num w:numId="15" w16cid:durableId="129708558">
    <w:abstractNumId w:val="5"/>
  </w:num>
  <w:num w:numId="16" w16cid:durableId="26100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E70"/>
    <w:rsid w:val="001A632A"/>
    <w:rsid w:val="00254F67"/>
    <w:rsid w:val="00487290"/>
    <w:rsid w:val="005C31D3"/>
    <w:rsid w:val="00621C15"/>
    <w:rsid w:val="00904308"/>
    <w:rsid w:val="00963B52"/>
    <w:rsid w:val="0097429E"/>
    <w:rsid w:val="009C6B9E"/>
    <w:rsid w:val="009D4515"/>
    <w:rsid w:val="00A3273C"/>
    <w:rsid w:val="00AC1E70"/>
    <w:rsid w:val="00B07844"/>
    <w:rsid w:val="00BB54D5"/>
    <w:rsid w:val="00C62F0E"/>
    <w:rsid w:val="00C74326"/>
    <w:rsid w:val="00C90FEC"/>
    <w:rsid w:val="00CA35AE"/>
    <w:rsid w:val="00F845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6307D"/>
  <w15:chartTrackingRefBased/>
  <w15:docId w15:val="{F8FFB3A9-8DC1-DF4E-B6B0-DD843ACA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1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1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1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1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E70"/>
    <w:rPr>
      <w:rFonts w:eastAsiaTheme="majorEastAsia" w:cstheme="majorBidi"/>
      <w:color w:val="272727" w:themeColor="text1" w:themeTint="D8"/>
    </w:rPr>
  </w:style>
  <w:style w:type="paragraph" w:styleId="Title">
    <w:name w:val="Title"/>
    <w:basedOn w:val="Normal"/>
    <w:next w:val="Normal"/>
    <w:link w:val="TitleChar"/>
    <w:uiPriority w:val="10"/>
    <w:qFormat/>
    <w:rsid w:val="00AC1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E70"/>
    <w:pPr>
      <w:spacing w:before="160"/>
      <w:jc w:val="center"/>
    </w:pPr>
    <w:rPr>
      <w:i/>
      <w:iCs/>
      <w:color w:val="404040" w:themeColor="text1" w:themeTint="BF"/>
    </w:rPr>
  </w:style>
  <w:style w:type="character" w:customStyle="1" w:styleId="QuoteChar">
    <w:name w:val="Quote Char"/>
    <w:basedOn w:val="DefaultParagraphFont"/>
    <w:link w:val="Quote"/>
    <w:uiPriority w:val="29"/>
    <w:rsid w:val="00AC1E70"/>
    <w:rPr>
      <w:i/>
      <w:iCs/>
      <w:color w:val="404040" w:themeColor="text1" w:themeTint="BF"/>
    </w:rPr>
  </w:style>
  <w:style w:type="paragraph" w:styleId="ListParagraph">
    <w:name w:val="List Paragraph"/>
    <w:basedOn w:val="Normal"/>
    <w:uiPriority w:val="34"/>
    <w:qFormat/>
    <w:rsid w:val="00AC1E70"/>
    <w:pPr>
      <w:ind w:left="720"/>
      <w:contextualSpacing/>
    </w:pPr>
  </w:style>
  <w:style w:type="character" w:styleId="IntenseEmphasis">
    <w:name w:val="Intense Emphasis"/>
    <w:basedOn w:val="DefaultParagraphFont"/>
    <w:uiPriority w:val="21"/>
    <w:qFormat/>
    <w:rsid w:val="00AC1E70"/>
    <w:rPr>
      <w:i/>
      <w:iCs/>
      <w:color w:val="0F4761" w:themeColor="accent1" w:themeShade="BF"/>
    </w:rPr>
  </w:style>
  <w:style w:type="paragraph" w:styleId="IntenseQuote">
    <w:name w:val="Intense Quote"/>
    <w:basedOn w:val="Normal"/>
    <w:next w:val="Normal"/>
    <w:link w:val="IntenseQuoteChar"/>
    <w:uiPriority w:val="30"/>
    <w:qFormat/>
    <w:rsid w:val="00AC1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E70"/>
    <w:rPr>
      <w:i/>
      <w:iCs/>
      <w:color w:val="0F4761" w:themeColor="accent1" w:themeShade="BF"/>
    </w:rPr>
  </w:style>
  <w:style w:type="character" w:styleId="IntenseReference">
    <w:name w:val="Intense Reference"/>
    <w:basedOn w:val="DefaultParagraphFont"/>
    <w:uiPriority w:val="32"/>
    <w:qFormat/>
    <w:rsid w:val="00AC1E70"/>
    <w:rPr>
      <w:b/>
      <w:bCs/>
      <w:smallCaps/>
      <w:color w:val="0F4761" w:themeColor="accent1" w:themeShade="BF"/>
      <w:spacing w:val="5"/>
    </w:rPr>
  </w:style>
  <w:style w:type="character" w:styleId="Strong">
    <w:name w:val="Strong"/>
    <w:basedOn w:val="DefaultParagraphFont"/>
    <w:uiPriority w:val="22"/>
    <w:qFormat/>
    <w:rsid w:val="00AC1E70"/>
    <w:rPr>
      <w:b/>
      <w:bCs/>
    </w:rPr>
  </w:style>
  <w:style w:type="paragraph" w:styleId="NormalWeb">
    <w:name w:val="Normal (Web)"/>
    <w:basedOn w:val="Normal"/>
    <w:uiPriority w:val="99"/>
    <w:semiHidden/>
    <w:unhideWhenUsed/>
    <w:rsid w:val="00AC1E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7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844"/>
  </w:style>
  <w:style w:type="paragraph" w:styleId="Footer">
    <w:name w:val="footer"/>
    <w:basedOn w:val="Normal"/>
    <w:link w:val="FooterChar"/>
    <w:uiPriority w:val="99"/>
    <w:unhideWhenUsed/>
    <w:rsid w:val="00B07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844"/>
  </w:style>
  <w:style w:type="character" w:customStyle="1" w:styleId="apple-converted-space">
    <w:name w:val="apple-converted-space"/>
    <w:basedOn w:val="DefaultParagraphFont"/>
    <w:rsid w:val="00C90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638</Words>
  <Characters>3643</Characters>
  <Application>Microsoft Office Word</Application>
  <DocSecurity>0</DocSecurity>
  <Lines>30</Lines>
  <Paragraphs>8</Paragraphs>
  <ScaleCrop>false</ScaleCrop>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Cohen</dc:creator>
  <cp:keywords/>
  <dc:description/>
  <cp:lastModifiedBy>Scott Cohen</cp:lastModifiedBy>
  <cp:revision>3</cp:revision>
  <cp:lastPrinted>2025-12-02T14:01:00Z</cp:lastPrinted>
  <dcterms:created xsi:type="dcterms:W3CDTF">2025-12-02T14:04:00Z</dcterms:created>
  <dcterms:modified xsi:type="dcterms:W3CDTF">2025-12-02T14:06:00Z</dcterms:modified>
</cp:coreProperties>
</file>