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A95EC" w14:textId="77777777" w:rsidR="00B07844" w:rsidRDefault="00B07844" w:rsidP="00B07844">
      <w:pPr>
        <w:spacing w:before="100" w:beforeAutospacing="1" w:after="100" w:afterAutospacing="1" w:line="240" w:lineRule="auto"/>
        <w:jc w:val="center"/>
        <w:outlineLvl w:val="0"/>
      </w:pPr>
      <w:r>
        <w:fldChar w:fldCharType="begin"/>
      </w:r>
      <w:r>
        <w:instrText xml:space="preserve"> INCLUDEPICTURE "/Users/scottcohen/Library/Group Containers/UBF8T346G9.ms/WebArchiveCopyPasteTempFiles/com.microsoft.Word/innolead_logo_horiztonal_color_392785.png" \* MERGEFORMATINET </w:instrText>
      </w:r>
      <w:r>
        <w:fldChar w:fldCharType="separate"/>
      </w:r>
      <w:r>
        <w:rPr>
          <w:noProof/>
        </w:rPr>
        <w:drawing>
          <wp:inline distT="0" distB="0" distL="0" distR="0" wp14:anchorId="74EC3862" wp14:editId="307D937F">
            <wp:extent cx="1289099" cy="355002"/>
            <wp:effectExtent l="0" t="0" r="0" b="0"/>
            <wp:docPr id="653960626"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23087" cy="364362"/>
                    </a:xfrm>
                    <a:prstGeom prst="rect">
                      <a:avLst/>
                    </a:prstGeom>
                    <a:noFill/>
                    <a:ln>
                      <a:noFill/>
                    </a:ln>
                  </pic:spPr>
                </pic:pic>
              </a:graphicData>
            </a:graphic>
          </wp:inline>
        </w:drawing>
      </w:r>
      <w:r>
        <w:fldChar w:fldCharType="end"/>
      </w:r>
    </w:p>
    <w:p w14:paraId="7BD92D29" w14:textId="25C17267" w:rsidR="00AC1E70" w:rsidRPr="00AC1E70" w:rsidRDefault="00C90FEC" w:rsidP="00B07844">
      <w:pPr>
        <w:spacing w:before="100" w:beforeAutospacing="1" w:after="100" w:afterAutospacing="1" w:line="240" w:lineRule="auto"/>
        <w:jc w:val="center"/>
        <w:outlineLvl w:val="0"/>
        <w:rPr>
          <w:rFonts w:ascii="Times New Roman" w:eastAsia="Times New Roman" w:hAnsi="Times New Roman" w:cs="Times New Roman"/>
          <w:b/>
          <w:bCs/>
          <w:color w:val="000000"/>
          <w:kern w:val="36"/>
          <w:sz w:val="48"/>
          <w:szCs w:val="48"/>
          <w14:ligatures w14:val="none"/>
        </w:rPr>
      </w:pPr>
      <w:r>
        <w:rPr>
          <w:rFonts w:ascii="Times New Roman" w:eastAsia="Times New Roman" w:hAnsi="Times New Roman" w:cs="Times New Roman"/>
          <w:b/>
          <w:bCs/>
          <w:color w:val="000000"/>
          <w:kern w:val="36"/>
          <w:sz w:val="48"/>
          <w:szCs w:val="48"/>
          <w14:ligatures w14:val="none"/>
        </w:rPr>
        <w:t xml:space="preserve">Innovation Progress: </w:t>
      </w:r>
      <w:r w:rsidR="00B84A62">
        <w:rPr>
          <w:rFonts w:ascii="Times New Roman" w:eastAsia="Times New Roman" w:hAnsi="Times New Roman" w:cs="Times New Roman"/>
          <w:b/>
          <w:bCs/>
          <w:color w:val="000000"/>
          <w:kern w:val="36"/>
          <w:sz w:val="48"/>
          <w:szCs w:val="48"/>
          <w14:ligatures w14:val="none"/>
        </w:rPr>
        <w:t xml:space="preserve">Macroeconomic </w:t>
      </w:r>
      <w:r>
        <w:rPr>
          <w:rFonts w:ascii="Times New Roman" w:eastAsia="Times New Roman" w:hAnsi="Times New Roman" w:cs="Times New Roman"/>
          <w:b/>
          <w:bCs/>
          <w:color w:val="000000"/>
          <w:kern w:val="36"/>
          <w:sz w:val="48"/>
          <w:szCs w:val="48"/>
          <w14:ligatures w14:val="none"/>
        </w:rPr>
        <w:t>Risks</w:t>
      </w:r>
    </w:p>
    <w:p w14:paraId="212CF827" w14:textId="3A742A3C" w:rsidR="00A3273C" w:rsidRDefault="00612DA0" w:rsidP="00A3273C">
      <w:pPr>
        <w:pStyle w:val="NormalWeb"/>
        <w:rPr>
          <w:color w:val="000000"/>
        </w:rPr>
      </w:pPr>
      <w:r w:rsidRPr="00612DA0">
        <w:rPr>
          <w:color w:val="000000"/>
        </w:rPr>
        <w:t>This Innovation Progress Report template is designed for Chief Innovation Officers to track innovation, R&amp;D, digital initiatives, and emerging technology programs under current inflationary and macroeconomic pressures. Rising costs of materials, energy, and transportation, coupled with shifting consumer spending patterns and global economic uncertainty, can impact project timelines, budgets, and strategic priorities. By linking innovation initiatives to these real-world economic conditions, CIOs can identify vulnerabilities, adjust resource allocation, and ensure high-value programs remain resilient and on track.</w:t>
      </w:r>
      <w:r w:rsidR="009C6B9E">
        <w:rPr>
          <w:color w:val="000000"/>
        </w:rPr>
        <w:t xml:space="preserve"> </w:t>
      </w:r>
      <w:r w:rsidR="009C6B9E" w:rsidRPr="009C6B9E">
        <w:rPr>
          <w:color w:val="000000"/>
        </w:rPr>
        <w:t>Sample data has been provided, which can be removed and replaced with your own data.</w:t>
      </w:r>
    </w:p>
    <w:p w14:paraId="116EEDEE" w14:textId="16561805" w:rsidR="00C90FEC" w:rsidRPr="00612DA0" w:rsidRDefault="00AC1E70" w:rsidP="00C90FEC">
      <w:pPr>
        <w:pStyle w:val="Heading1"/>
        <w:rPr>
          <w:rFonts w:asciiTheme="majorBidi" w:hAnsiTheme="majorBidi"/>
          <w:color w:val="000000"/>
          <w:sz w:val="24"/>
          <w:szCs w:val="24"/>
        </w:rPr>
      </w:pPr>
      <w:r w:rsidRPr="00C90FEC">
        <w:rPr>
          <w:rFonts w:ascii="Times New Roman" w:eastAsia="Times New Roman" w:hAnsi="Times New Roman" w:cs="Times New Roman"/>
          <w:b/>
          <w:bCs/>
          <w:color w:val="000000"/>
          <w:kern w:val="0"/>
          <w:sz w:val="24"/>
          <w:szCs w:val="24"/>
          <w14:ligatures w14:val="none"/>
        </w:rPr>
        <w:t xml:space="preserve">For: </w:t>
      </w:r>
      <w:r w:rsidRPr="00C90FEC">
        <w:rPr>
          <w:rFonts w:ascii="Times New Roman" w:eastAsia="Times New Roman" w:hAnsi="Times New Roman" w:cs="Times New Roman"/>
          <w:color w:val="000000"/>
          <w:kern w:val="0"/>
          <w:sz w:val="24"/>
          <w:szCs w:val="24"/>
          <w14:ligatures w14:val="none"/>
        </w:rPr>
        <w:t>[Company Name]</w:t>
      </w:r>
      <w:r w:rsidRPr="00C90FEC">
        <w:rPr>
          <w:rFonts w:ascii="Times New Roman" w:eastAsia="Times New Roman" w:hAnsi="Times New Roman" w:cs="Times New Roman"/>
          <w:color w:val="000000"/>
          <w:kern w:val="0"/>
          <w:sz w:val="24"/>
          <w:szCs w:val="24"/>
          <w14:ligatures w14:val="none"/>
        </w:rPr>
        <w:br/>
      </w:r>
      <w:r w:rsidRPr="00C90FEC">
        <w:rPr>
          <w:rFonts w:ascii="Times New Roman" w:eastAsia="Times New Roman" w:hAnsi="Times New Roman" w:cs="Times New Roman"/>
          <w:b/>
          <w:bCs/>
          <w:color w:val="000000"/>
          <w:kern w:val="0"/>
          <w:sz w:val="24"/>
          <w:szCs w:val="24"/>
          <w14:ligatures w14:val="none"/>
        </w:rPr>
        <w:t xml:space="preserve">Date: </w:t>
      </w:r>
      <w:r w:rsidRPr="00C90FEC">
        <w:rPr>
          <w:rFonts w:ascii="Times New Roman" w:eastAsia="Times New Roman" w:hAnsi="Times New Roman" w:cs="Times New Roman"/>
          <w:color w:val="000000"/>
          <w:kern w:val="0"/>
          <w:sz w:val="24"/>
          <w:szCs w:val="24"/>
          <w14:ligatures w14:val="none"/>
        </w:rPr>
        <w:t>[Quarter/Year]</w:t>
      </w:r>
      <w:r w:rsidR="00C90FEC" w:rsidRPr="00C90FEC">
        <w:rPr>
          <w:rStyle w:val="Strong"/>
          <w:color w:val="000000"/>
          <w:sz w:val="24"/>
          <w:szCs w:val="24"/>
        </w:rPr>
        <w:t xml:space="preserve"> </w:t>
      </w:r>
      <w:r w:rsidR="00C90FEC">
        <w:rPr>
          <w:rStyle w:val="Strong"/>
          <w:b w:val="0"/>
          <w:bCs w:val="0"/>
          <w:color w:val="000000"/>
          <w:sz w:val="24"/>
          <w:szCs w:val="24"/>
        </w:rPr>
        <w:br/>
      </w:r>
      <w:r w:rsidR="00C90FEC" w:rsidRPr="00612DA0">
        <w:rPr>
          <w:rFonts w:asciiTheme="majorBidi" w:eastAsia="Times New Roman" w:hAnsiTheme="majorBidi"/>
          <w:b/>
          <w:bCs/>
          <w:color w:val="000000"/>
          <w:kern w:val="36"/>
          <w:sz w:val="24"/>
          <w:szCs w:val="24"/>
          <w14:ligatures w14:val="none"/>
        </w:rPr>
        <w:t xml:space="preserve">Innovation Progress Report: </w:t>
      </w:r>
      <w:r w:rsidR="00C90FEC" w:rsidRPr="00612DA0">
        <w:rPr>
          <w:rFonts w:asciiTheme="majorBidi" w:eastAsia="Times New Roman" w:hAnsiTheme="majorBidi"/>
          <w:color w:val="000000"/>
          <w:kern w:val="36"/>
          <w:sz w:val="24"/>
          <w:szCs w:val="24"/>
          <w14:ligatures w14:val="none"/>
        </w:rPr>
        <w:t>Supply Chain Focus</w:t>
      </w:r>
    </w:p>
    <w:p w14:paraId="1561BBAB" w14:textId="77777777" w:rsidR="00C90FEC" w:rsidRPr="00C90FEC" w:rsidRDefault="00263290" w:rsidP="00C90FEC">
      <w:pPr>
        <w:spacing w:after="0" w:line="240" w:lineRule="auto"/>
        <w:rPr>
          <w:rFonts w:asciiTheme="majorBidi" w:eastAsia="Times New Roman" w:hAnsiTheme="majorBidi" w:cstheme="majorBidi"/>
          <w:kern w:val="0"/>
          <w14:ligatures w14:val="none"/>
        </w:rPr>
      </w:pPr>
      <w:r w:rsidRPr="00263290">
        <w:rPr>
          <w:rFonts w:asciiTheme="majorBidi" w:eastAsia="Times New Roman" w:hAnsiTheme="majorBidi" w:cstheme="majorBidi"/>
          <w:noProof/>
          <w:kern w:val="0"/>
        </w:rPr>
        <w:pict w14:anchorId="2B3ABDEE">
          <v:rect id="_x0000_i1032" alt="" style="width:468pt;height:.05pt;mso-width-percent:0;mso-height-percent:0;mso-width-percent:0;mso-height-percent:0" o:hralign="center" o:hrstd="t" o:hr="t" fillcolor="#a0a0a0" stroked="f"/>
        </w:pict>
      </w:r>
    </w:p>
    <w:p w14:paraId="333A7D3F"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t>Executive Summary</w:t>
      </w:r>
    </w:p>
    <w:p w14:paraId="65E39BD2" w14:textId="77777777" w:rsidR="00612DA0" w:rsidRPr="00612DA0" w:rsidRDefault="00612DA0" w:rsidP="00612DA0">
      <w:pPr>
        <w:pStyle w:val="NormalWeb"/>
        <w:numPr>
          <w:ilvl w:val="0"/>
          <w:numId w:val="17"/>
        </w:numPr>
        <w:rPr>
          <w:rFonts w:asciiTheme="majorBidi" w:hAnsiTheme="majorBidi" w:cstheme="majorBidi"/>
          <w:color w:val="000000"/>
        </w:rPr>
      </w:pPr>
      <w:r w:rsidRPr="00612DA0">
        <w:rPr>
          <w:rFonts w:asciiTheme="majorBidi" w:hAnsiTheme="majorBidi" w:cstheme="majorBidi"/>
          <w:color w:val="000000"/>
        </w:rPr>
        <w:t>Overview of projects impacted by inflation, commodity price volatility, or shifting consumer demand.</w:t>
      </w:r>
    </w:p>
    <w:p w14:paraId="67DDC17F" w14:textId="77777777" w:rsidR="00612DA0" w:rsidRPr="00612DA0" w:rsidRDefault="00612DA0" w:rsidP="00612DA0">
      <w:pPr>
        <w:pStyle w:val="NormalWeb"/>
        <w:numPr>
          <w:ilvl w:val="0"/>
          <w:numId w:val="17"/>
        </w:numPr>
        <w:rPr>
          <w:rFonts w:asciiTheme="majorBidi" w:hAnsiTheme="majorBidi" w:cstheme="majorBidi"/>
          <w:color w:val="000000"/>
        </w:rPr>
      </w:pPr>
      <w:r w:rsidRPr="00612DA0">
        <w:rPr>
          <w:rFonts w:asciiTheme="majorBidi" w:hAnsiTheme="majorBidi" w:cstheme="majorBidi"/>
          <w:color w:val="000000"/>
        </w:rPr>
        <w:t>Key risks and budgetary pressures identified during the reporting period.</w:t>
      </w:r>
    </w:p>
    <w:p w14:paraId="415508CB" w14:textId="77777777" w:rsidR="00612DA0" w:rsidRPr="00612DA0" w:rsidRDefault="00612DA0" w:rsidP="00612DA0">
      <w:pPr>
        <w:pStyle w:val="NormalWeb"/>
        <w:numPr>
          <w:ilvl w:val="0"/>
          <w:numId w:val="17"/>
        </w:numPr>
        <w:rPr>
          <w:rFonts w:asciiTheme="majorBidi" w:hAnsiTheme="majorBidi" w:cstheme="majorBidi"/>
          <w:color w:val="000000"/>
        </w:rPr>
      </w:pPr>
      <w:r w:rsidRPr="00612DA0">
        <w:rPr>
          <w:rFonts w:asciiTheme="majorBidi" w:hAnsiTheme="majorBidi" w:cstheme="majorBidi"/>
          <w:color w:val="000000"/>
        </w:rPr>
        <w:t>Highlights of mitigation strategies, cost management, and strategic pivots.</w:t>
      </w:r>
    </w:p>
    <w:p w14:paraId="763F1D8C" w14:textId="77777777" w:rsidR="00612DA0" w:rsidRPr="00612DA0" w:rsidRDefault="00612DA0" w:rsidP="00612DA0">
      <w:pPr>
        <w:pStyle w:val="NormalWeb"/>
        <w:rPr>
          <w:rFonts w:asciiTheme="majorBidi" w:hAnsiTheme="majorBidi" w:cstheme="majorBidi"/>
          <w:color w:val="000000"/>
        </w:rPr>
      </w:pPr>
      <w:r w:rsidRPr="00612DA0">
        <w:rPr>
          <w:rStyle w:val="Strong"/>
          <w:rFonts w:asciiTheme="majorBidi" w:eastAsiaTheme="majorEastAsia" w:hAnsiTheme="majorBidi" w:cstheme="majorBidi"/>
          <w:color w:val="000000"/>
        </w:rPr>
        <w:t>Example:</w:t>
      </w:r>
    </w:p>
    <w:p w14:paraId="6E5D80D6" w14:textId="77777777" w:rsidR="00612DA0" w:rsidRPr="00612DA0" w:rsidRDefault="00612DA0" w:rsidP="00612DA0">
      <w:pPr>
        <w:pStyle w:val="NormalWeb"/>
        <w:rPr>
          <w:rFonts w:asciiTheme="majorBidi" w:hAnsiTheme="majorBidi" w:cstheme="majorBidi"/>
          <w:color w:val="000000"/>
        </w:rPr>
      </w:pPr>
      <w:r w:rsidRPr="00612DA0">
        <w:rPr>
          <w:rFonts w:asciiTheme="majorBidi" w:hAnsiTheme="majorBidi" w:cstheme="majorBidi"/>
          <w:color w:val="000000"/>
        </w:rPr>
        <w:t>“This quarter, energy and raw material cost increases have raised Project Z’s budget by 8%, while reduced discretionary consumer spending is affecting projected adoption of Product Y. Mitigation actions include alternative sourcing, price hedging, and phased launches. Overall, 78% of programs remain on track, though cost pressures require continuous monitoring.”</w:t>
      </w:r>
    </w:p>
    <w:p w14:paraId="1424910C"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6FE861D0">
          <v:rect id="_x0000_i1031" alt="" style="width:468pt;height:.05pt;mso-width-percent:0;mso-height-percent:0;mso-width-percent:0;mso-height-percent:0" o:hralign="center" o:hrstd="t" o:hr="t" fillcolor="#a0a0a0" stroked="f"/>
        </w:pict>
      </w:r>
    </w:p>
    <w:p w14:paraId="59DD4436"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lastRenderedPageBreak/>
        <w:t>Innovation Portfolio Overview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72"/>
        <w:gridCol w:w="1357"/>
        <w:gridCol w:w="1705"/>
        <w:gridCol w:w="1750"/>
        <w:gridCol w:w="1868"/>
        <w:gridCol w:w="1208"/>
      </w:tblGrid>
      <w:tr w:rsidR="00612DA0" w:rsidRPr="00612DA0" w14:paraId="2605A4F8" w14:textId="77777777">
        <w:trPr>
          <w:tblHeader/>
          <w:tblCellSpacing w:w="15" w:type="dxa"/>
        </w:trPr>
        <w:tc>
          <w:tcPr>
            <w:tcW w:w="0" w:type="auto"/>
            <w:vAlign w:val="center"/>
            <w:hideMark/>
          </w:tcPr>
          <w:p w14:paraId="188EB711"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Program / Initiative</w:t>
            </w:r>
          </w:p>
        </w:tc>
        <w:tc>
          <w:tcPr>
            <w:tcW w:w="0" w:type="auto"/>
            <w:vAlign w:val="center"/>
            <w:hideMark/>
          </w:tcPr>
          <w:p w14:paraId="3611CCC9"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Stage (Idea → Pilot → Scale)</w:t>
            </w:r>
          </w:p>
        </w:tc>
        <w:tc>
          <w:tcPr>
            <w:tcW w:w="0" w:type="auto"/>
            <w:vAlign w:val="center"/>
            <w:hideMark/>
          </w:tcPr>
          <w:p w14:paraId="63EA0B0B"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Inflation Exposure (High / Medium / Low)</w:t>
            </w:r>
          </w:p>
        </w:tc>
        <w:tc>
          <w:tcPr>
            <w:tcW w:w="0" w:type="auto"/>
            <w:vAlign w:val="center"/>
            <w:hideMark/>
          </w:tcPr>
          <w:p w14:paraId="24B67E8A"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Impact of Cost Increases</w:t>
            </w:r>
          </w:p>
        </w:tc>
        <w:tc>
          <w:tcPr>
            <w:tcW w:w="0" w:type="auto"/>
            <w:vAlign w:val="center"/>
            <w:hideMark/>
          </w:tcPr>
          <w:p w14:paraId="082129EF"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Mitigation Actions</w:t>
            </w:r>
          </w:p>
        </w:tc>
        <w:tc>
          <w:tcPr>
            <w:tcW w:w="0" w:type="auto"/>
            <w:vAlign w:val="center"/>
            <w:hideMark/>
          </w:tcPr>
          <w:p w14:paraId="7B527955"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Next Review</w:t>
            </w:r>
          </w:p>
        </w:tc>
      </w:tr>
      <w:tr w:rsidR="00612DA0" w:rsidRPr="00612DA0" w14:paraId="52250E96" w14:textId="77777777">
        <w:trPr>
          <w:tblCellSpacing w:w="15" w:type="dxa"/>
        </w:trPr>
        <w:tc>
          <w:tcPr>
            <w:tcW w:w="0" w:type="auto"/>
            <w:vAlign w:val="center"/>
            <w:hideMark/>
          </w:tcPr>
          <w:p w14:paraId="419697EF" w14:textId="77777777" w:rsidR="00612DA0" w:rsidRPr="00612DA0" w:rsidRDefault="00612DA0">
            <w:pPr>
              <w:rPr>
                <w:rFonts w:asciiTheme="majorBidi" w:hAnsiTheme="majorBidi" w:cstheme="majorBidi"/>
              </w:rPr>
            </w:pPr>
            <w:r w:rsidRPr="00612DA0">
              <w:rPr>
                <w:rFonts w:asciiTheme="majorBidi" w:hAnsiTheme="majorBidi" w:cstheme="majorBidi"/>
              </w:rPr>
              <w:t>Product Y (Hardware)</w:t>
            </w:r>
          </w:p>
        </w:tc>
        <w:tc>
          <w:tcPr>
            <w:tcW w:w="0" w:type="auto"/>
            <w:vAlign w:val="center"/>
            <w:hideMark/>
          </w:tcPr>
          <w:p w14:paraId="494F7D7F" w14:textId="77777777" w:rsidR="00612DA0" w:rsidRPr="00612DA0" w:rsidRDefault="00612DA0">
            <w:pPr>
              <w:rPr>
                <w:rFonts w:asciiTheme="majorBidi" w:hAnsiTheme="majorBidi" w:cstheme="majorBidi"/>
              </w:rPr>
            </w:pPr>
            <w:r w:rsidRPr="00612DA0">
              <w:rPr>
                <w:rFonts w:asciiTheme="majorBidi" w:hAnsiTheme="majorBidi" w:cstheme="majorBidi"/>
              </w:rPr>
              <w:t>Pilot</w:t>
            </w:r>
          </w:p>
        </w:tc>
        <w:tc>
          <w:tcPr>
            <w:tcW w:w="0" w:type="auto"/>
            <w:vAlign w:val="center"/>
            <w:hideMark/>
          </w:tcPr>
          <w:p w14:paraId="098E4A88" w14:textId="77777777" w:rsidR="00612DA0" w:rsidRPr="00612DA0" w:rsidRDefault="00612DA0">
            <w:pPr>
              <w:rPr>
                <w:rFonts w:asciiTheme="majorBidi" w:hAnsiTheme="majorBidi" w:cstheme="majorBidi"/>
              </w:rPr>
            </w:pPr>
            <w:r w:rsidRPr="00612DA0">
              <w:rPr>
                <w:rFonts w:asciiTheme="majorBidi" w:hAnsiTheme="majorBidi" w:cstheme="majorBidi"/>
              </w:rPr>
              <w:t>High</w:t>
            </w:r>
          </w:p>
        </w:tc>
        <w:tc>
          <w:tcPr>
            <w:tcW w:w="0" w:type="auto"/>
            <w:vAlign w:val="center"/>
            <w:hideMark/>
          </w:tcPr>
          <w:p w14:paraId="32CDEB45" w14:textId="77777777" w:rsidR="00612DA0" w:rsidRPr="00612DA0" w:rsidRDefault="00612DA0">
            <w:pPr>
              <w:rPr>
                <w:rFonts w:asciiTheme="majorBidi" w:hAnsiTheme="majorBidi" w:cstheme="majorBidi"/>
              </w:rPr>
            </w:pPr>
            <w:r w:rsidRPr="00612DA0">
              <w:rPr>
                <w:rFonts w:asciiTheme="majorBidi" w:hAnsiTheme="majorBidi" w:cstheme="majorBidi"/>
              </w:rPr>
              <w:t>Increased material costs</w:t>
            </w:r>
          </w:p>
        </w:tc>
        <w:tc>
          <w:tcPr>
            <w:tcW w:w="0" w:type="auto"/>
            <w:vAlign w:val="center"/>
            <w:hideMark/>
          </w:tcPr>
          <w:p w14:paraId="20C781D2" w14:textId="77777777" w:rsidR="00612DA0" w:rsidRPr="00612DA0" w:rsidRDefault="00612DA0">
            <w:pPr>
              <w:rPr>
                <w:rFonts w:asciiTheme="majorBidi" w:hAnsiTheme="majorBidi" w:cstheme="majorBidi"/>
              </w:rPr>
            </w:pPr>
            <w:r w:rsidRPr="00612DA0">
              <w:rPr>
                <w:rFonts w:asciiTheme="majorBidi" w:hAnsiTheme="majorBidi" w:cstheme="majorBidi"/>
              </w:rPr>
              <w:t>Alternative suppliers, component redesign</w:t>
            </w:r>
          </w:p>
        </w:tc>
        <w:tc>
          <w:tcPr>
            <w:tcW w:w="0" w:type="auto"/>
            <w:vAlign w:val="center"/>
            <w:hideMark/>
          </w:tcPr>
          <w:p w14:paraId="20CC2145" w14:textId="77777777" w:rsidR="00612DA0" w:rsidRPr="00612DA0" w:rsidRDefault="00612DA0">
            <w:pPr>
              <w:rPr>
                <w:rFonts w:asciiTheme="majorBidi" w:hAnsiTheme="majorBidi" w:cstheme="majorBidi"/>
              </w:rPr>
            </w:pPr>
            <w:r w:rsidRPr="00612DA0">
              <w:rPr>
                <w:rFonts w:asciiTheme="majorBidi" w:hAnsiTheme="majorBidi" w:cstheme="majorBidi"/>
              </w:rPr>
              <w:t>12/15/2025</w:t>
            </w:r>
          </w:p>
        </w:tc>
      </w:tr>
      <w:tr w:rsidR="00612DA0" w:rsidRPr="00612DA0" w14:paraId="0B455039" w14:textId="77777777">
        <w:trPr>
          <w:tblCellSpacing w:w="15" w:type="dxa"/>
        </w:trPr>
        <w:tc>
          <w:tcPr>
            <w:tcW w:w="0" w:type="auto"/>
            <w:vAlign w:val="center"/>
            <w:hideMark/>
          </w:tcPr>
          <w:p w14:paraId="72AD6502" w14:textId="77777777" w:rsidR="00612DA0" w:rsidRPr="00612DA0" w:rsidRDefault="00612DA0">
            <w:pPr>
              <w:rPr>
                <w:rFonts w:asciiTheme="majorBidi" w:hAnsiTheme="majorBidi" w:cstheme="majorBidi"/>
              </w:rPr>
            </w:pPr>
            <w:r w:rsidRPr="00612DA0">
              <w:rPr>
                <w:rFonts w:asciiTheme="majorBidi" w:hAnsiTheme="majorBidi" w:cstheme="majorBidi"/>
              </w:rPr>
              <w:t>Cloud Platform Expansion</w:t>
            </w:r>
          </w:p>
        </w:tc>
        <w:tc>
          <w:tcPr>
            <w:tcW w:w="0" w:type="auto"/>
            <w:vAlign w:val="center"/>
            <w:hideMark/>
          </w:tcPr>
          <w:p w14:paraId="0108F9BD" w14:textId="77777777" w:rsidR="00612DA0" w:rsidRPr="00612DA0" w:rsidRDefault="00612DA0">
            <w:pPr>
              <w:rPr>
                <w:rFonts w:asciiTheme="majorBidi" w:hAnsiTheme="majorBidi" w:cstheme="majorBidi"/>
              </w:rPr>
            </w:pPr>
            <w:r w:rsidRPr="00612DA0">
              <w:rPr>
                <w:rFonts w:asciiTheme="majorBidi" w:hAnsiTheme="majorBidi" w:cstheme="majorBidi"/>
              </w:rPr>
              <w:t>Scale</w:t>
            </w:r>
          </w:p>
        </w:tc>
        <w:tc>
          <w:tcPr>
            <w:tcW w:w="0" w:type="auto"/>
            <w:vAlign w:val="center"/>
            <w:hideMark/>
          </w:tcPr>
          <w:p w14:paraId="50616C73" w14:textId="77777777" w:rsidR="00612DA0" w:rsidRPr="00612DA0" w:rsidRDefault="00612DA0">
            <w:pPr>
              <w:rPr>
                <w:rFonts w:asciiTheme="majorBidi" w:hAnsiTheme="majorBidi" w:cstheme="majorBidi"/>
              </w:rPr>
            </w:pPr>
            <w:r w:rsidRPr="00612DA0">
              <w:rPr>
                <w:rFonts w:asciiTheme="majorBidi" w:hAnsiTheme="majorBidi" w:cstheme="majorBidi"/>
              </w:rPr>
              <w:t>Medium</w:t>
            </w:r>
          </w:p>
        </w:tc>
        <w:tc>
          <w:tcPr>
            <w:tcW w:w="0" w:type="auto"/>
            <w:vAlign w:val="center"/>
            <w:hideMark/>
          </w:tcPr>
          <w:p w14:paraId="448A58BC" w14:textId="77777777" w:rsidR="00612DA0" w:rsidRPr="00612DA0" w:rsidRDefault="00612DA0">
            <w:pPr>
              <w:rPr>
                <w:rFonts w:asciiTheme="majorBidi" w:hAnsiTheme="majorBidi" w:cstheme="majorBidi"/>
              </w:rPr>
            </w:pPr>
            <w:r w:rsidRPr="00612DA0">
              <w:rPr>
                <w:rFonts w:asciiTheme="majorBidi" w:hAnsiTheme="majorBidi" w:cstheme="majorBidi"/>
              </w:rPr>
              <w:t>Energy &amp; infrastructure costs</w:t>
            </w:r>
          </w:p>
        </w:tc>
        <w:tc>
          <w:tcPr>
            <w:tcW w:w="0" w:type="auto"/>
            <w:vAlign w:val="center"/>
            <w:hideMark/>
          </w:tcPr>
          <w:p w14:paraId="0A7B0B40" w14:textId="77777777" w:rsidR="00612DA0" w:rsidRPr="00612DA0" w:rsidRDefault="00612DA0">
            <w:pPr>
              <w:rPr>
                <w:rFonts w:asciiTheme="majorBidi" w:hAnsiTheme="majorBidi" w:cstheme="majorBidi"/>
              </w:rPr>
            </w:pPr>
            <w:r w:rsidRPr="00612DA0">
              <w:rPr>
                <w:rFonts w:asciiTheme="majorBidi" w:hAnsiTheme="majorBidi" w:cstheme="majorBidi"/>
              </w:rPr>
              <w:t>Optimize data center usage, renegotiate contracts</w:t>
            </w:r>
          </w:p>
        </w:tc>
        <w:tc>
          <w:tcPr>
            <w:tcW w:w="0" w:type="auto"/>
            <w:vAlign w:val="center"/>
            <w:hideMark/>
          </w:tcPr>
          <w:p w14:paraId="2D6B5FC2" w14:textId="77777777" w:rsidR="00612DA0" w:rsidRPr="00612DA0" w:rsidRDefault="00612DA0">
            <w:pPr>
              <w:rPr>
                <w:rFonts w:asciiTheme="majorBidi" w:hAnsiTheme="majorBidi" w:cstheme="majorBidi"/>
              </w:rPr>
            </w:pPr>
            <w:r w:rsidRPr="00612DA0">
              <w:rPr>
                <w:rFonts w:asciiTheme="majorBidi" w:hAnsiTheme="majorBidi" w:cstheme="majorBidi"/>
              </w:rPr>
              <w:t>12/15/2025</w:t>
            </w:r>
          </w:p>
        </w:tc>
      </w:tr>
      <w:tr w:rsidR="00612DA0" w:rsidRPr="00612DA0" w14:paraId="28CC371D" w14:textId="77777777">
        <w:trPr>
          <w:tblCellSpacing w:w="15" w:type="dxa"/>
        </w:trPr>
        <w:tc>
          <w:tcPr>
            <w:tcW w:w="0" w:type="auto"/>
            <w:vAlign w:val="center"/>
            <w:hideMark/>
          </w:tcPr>
          <w:p w14:paraId="7D235DC4" w14:textId="77777777" w:rsidR="00612DA0" w:rsidRPr="00612DA0" w:rsidRDefault="00612DA0">
            <w:pPr>
              <w:rPr>
                <w:rFonts w:asciiTheme="majorBidi" w:hAnsiTheme="majorBidi" w:cstheme="majorBidi"/>
              </w:rPr>
            </w:pPr>
            <w:r w:rsidRPr="00612DA0">
              <w:rPr>
                <w:rFonts w:asciiTheme="majorBidi" w:hAnsiTheme="majorBidi" w:cstheme="majorBidi"/>
              </w:rPr>
              <w:t>Battery R&amp;D</w:t>
            </w:r>
          </w:p>
        </w:tc>
        <w:tc>
          <w:tcPr>
            <w:tcW w:w="0" w:type="auto"/>
            <w:vAlign w:val="center"/>
            <w:hideMark/>
          </w:tcPr>
          <w:p w14:paraId="50D117D8" w14:textId="77777777" w:rsidR="00612DA0" w:rsidRPr="00612DA0" w:rsidRDefault="00612DA0">
            <w:pPr>
              <w:rPr>
                <w:rFonts w:asciiTheme="majorBidi" w:hAnsiTheme="majorBidi" w:cstheme="majorBidi"/>
              </w:rPr>
            </w:pPr>
            <w:r w:rsidRPr="00612DA0">
              <w:rPr>
                <w:rFonts w:asciiTheme="majorBidi" w:hAnsiTheme="majorBidi" w:cstheme="majorBidi"/>
              </w:rPr>
              <w:t>Research</w:t>
            </w:r>
          </w:p>
        </w:tc>
        <w:tc>
          <w:tcPr>
            <w:tcW w:w="0" w:type="auto"/>
            <w:vAlign w:val="center"/>
            <w:hideMark/>
          </w:tcPr>
          <w:p w14:paraId="008CAC0A" w14:textId="77777777" w:rsidR="00612DA0" w:rsidRPr="00612DA0" w:rsidRDefault="00612DA0">
            <w:pPr>
              <w:rPr>
                <w:rFonts w:asciiTheme="majorBidi" w:hAnsiTheme="majorBidi" w:cstheme="majorBidi"/>
              </w:rPr>
            </w:pPr>
            <w:r w:rsidRPr="00612DA0">
              <w:rPr>
                <w:rFonts w:asciiTheme="majorBidi" w:hAnsiTheme="majorBidi" w:cstheme="majorBidi"/>
              </w:rPr>
              <w:t>High</w:t>
            </w:r>
          </w:p>
        </w:tc>
        <w:tc>
          <w:tcPr>
            <w:tcW w:w="0" w:type="auto"/>
            <w:vAlign w:val="center"/>
            <w:hideMark/>
          </w:tcPr>
          <w:p w14:paraId="2FB0A4B2" w14:textId="77777777" w:rsidR="00612DA0" w:rsidRPr="00612DA0" w:rsidRDefault="00612DA0">
            <w:pPr>
              <w:rPr>
                <w:rFonts w:asciiTheme="majorBidi" w:hAnsiTheme="majorBidi" w:cstheme="majorBidi"/>
              </w:rPr>
            </w:pPr>
            <w:r w:rsidRPr="00612DA0">
              <w:rPr>
                <w:rFonts w:asciiTheme="majorBidi" w:hAnsiTheme="majorBidi" w:cstheme="majorBidi"/>
              </w:rPr>
              <w:t>Lithium &amp; commodity cost spikes</w:t>
            </w:r>
          </w:p>
        </w:tc>
        <w:tc>
          <w:tcPr>
            <w:tcW w:w="0" w:type="auto"/>
            <w:vAlign w:val="center"/>
            <w:hideMark/>
          </w:tcPr>
          <w:p w14:paraId="26AB08D3" w14:textId="77777777" w:rsidR="00612DA0" w:rsidRPr="00612DA0" w:rsidRDefault="00612DA0">
            <w:pPr>
              <w:rPr>
                <w:rFonts w:asciiTheme="majorBidi" w:hAnsiTheme="majorBidi" w:cstheme="majorBidi"/>
              </w:rPr>
            </w:pPr>
            <w:r w:rsidRPr="00612DA0">
              <w:rPr>
                <w:rFonts w:asciiTheme="majorBidi" w:hAnsiTheme="majorBidi" w:cstheme="majorBidi"/>
              </w:rPr>
              <w:t>Explore alternative materials; local sourcing</w:t>
            </w:r>
          </w:p>
        </w:tc>
        <w:tc>
          <w:tcPr>
            <w:tcW w:w="0" w:type="auto"/>
            <w:vAlign w:val="center"/>
            <w:hideMark/>
          </w:tcPr>
          <w:p w14:paraId="0A7E4290" w14:textId="77777777" w:rsidR="00612DA0" w:rsidRPr="00612DA0" w:rsidRDefault="00612DA0">
            <w:pPr>
              <w:rPr>
                <w:rFonts w:asciiTheme="majorBidi" w:hAnsiTheme="majorBidi" w:cstheme="majorBidi"/>
              </w:rPr>
            </w:pPr>
            <w:r w:rsidRPr="00612DA0">
              <w:rPr>
                <w:rFonts w:asciiTheme="majorBidi" w:hAnsiTheme="majorBidi" w:cstheme="majorBidi"/>
              </w:rPr>
              <w:t>01/10/2026</w:t>
            </w:r>
          </w:p>
        </w:tc>
      </w:tr>
    </w:tbl>
    <w:p w14:paraId="3D6B167C" w14:textId="77777777" w:rsidR="00612DA0" w:rsidRPr="00612DA0" w:rsidRDefault="00612DA0" w:rsidP="00612DA0">
      <w:pPr>
        <w:pStyle w:val="NormalWeb"/>
        <w:rPr>
          <w:rFonts w:asciiTheme="majorBidi" w:hAnsiTheme="majorBidi" w:cstheme="majorBidi"/>
          <w:color w:val="000000"/>
        </w:rPr>
      </w:pPr>
      <w:r w:rsidRPr="00612DA0">
        <w:rPr>
          <w:rStyle w:val="Strong"/>
          <w:rFonts w:asciiTheme="majorBidi" w:eastAsiaTheme="majorEastAsia" w:hAnsiTheme="majorBidi" w:cstheme="majorBidi"/>
          <w:color w:val="000000"/>
        </w:rPr>
        <w:t>Metrics to Track:</w:t>
      </w:r>
    </w:p>
    <w:p w14:paraId="504A650E" w14:textId="77777777" w:rsidR="00612DA0" w:rsidRPr="00612DA0" w:rsidRDefault="00612DA0" w:rsidP="00612DA0">
      <w:pPr>
        <w:pStyle w:val="NormalWeb"/>
        <w:numPr>
          <w:ilvl w:val="0"/>
          <w:numId w:val="18"/>
        </w:numPr>
        <w:rPr>
          <w:rFonts w:asciiTheme="majorBidi" w:hAnsiTheme="majorBidi" w:cstheme="majorBidi"/>
          <w:color w:val="000000"/>
        </w:rPr>
      </w:pPr>
      <w:r w:rsidRPr="00612DA0">
        <w:rPr>
          <w:rFonts w:asciiTheme="majorBidi" w:hAnsiTheme="majorBidi" w:cstheme="majorBidi"/>
          <w:color w:val="000000"/>
        </w:rPr>
        <w:t>% of programs exposed to cost inflation</w:t>
      </w:r>
    </w:p>
    <w:p w14:paraId="5113AFB0" w14:textId="77777777" w:rsidR="00612DA0" w:rsidRPr="00612DA0" w:rsidRDefault="00612DA0" w:rsidP="00612DA0">
      <w:pPr>
        <w:pStyle w:val="NormalWeb"/>
        <w:numPr>
          <w:ilvl w:val="0"/>
          <w:numId w:val="18"/>
        </w:numPr>
        <w:rPr>
          <w:rFonts w:asciiTheme="majorBidi" w:hAnsiTheme="majorBidi" w:cstheme="majorBidi"/>
          <w:color w:val="000000"/>
        </w:rPr>
      </w:pPr>
      <w:r w:rsidRPr="00612DA0">
        <w:rPr>
          <w:rFonts w:asciiTheme="majorBidi" w:hAnsiTheme="majorBidi" w:cstheme="majorBidi"/>
          <w:color w:val="000000"/>
        </w:rPr>
        <w:t>Cost overrun vs. budget baseline</w:t>
      </w:r>
    </w:p>
    <w:p w14:paraId="7B47D876" w14:textId="77777777" w:rsidR="00612DA0" w:rsidRPr="00612DA0" w:rsidRDefault="00612DA0" w:rsidP="00612DA0">
      <w:pPr>
        <w:pStyle w:val="NormalWeb"/>
        <w:numPr>
          <w:ilvl w:val="0"/>
          <w:numId w:val="18"/>
        </w:numPr>
        <w:rPr>
          <w:rFonts w:asciiTheme="majorBidi" w:hAnsiTheme="majorBidi" w:cstheme="majorBidi"/>
          <w:color w:val="000000"/>
        </w:rPr>
      </w:pPr>
      <w:r w:rsidRPr="00612DA0">
        <w:rPr>
          <w:rFonts w:asciiTheme="majorBidi" w:hAnsiTheme="majorBidi" w:cstheme="majorBidi"/>
          <w:color w:val="000000"/>
        </w:rPr>
        <w:t>Impact of consumer spending shifts on projected adoption</w:t>
      </w:r>
    </w:p>
    <w:p w14:paraId="0E482BCB" w14:textId="77777777" w:rsidR="00612DA0" w:rsidRPr="00612DA0" w:rsidRDefault="00612DA0" w:rsidP="00612DA0">
      <w:pPr>
        <w:pStyle w:val="NormalWeb"/>
        <w:numPr>
          <w:ilvl w:val="0"/>
          <w:numId w:val="18"/>
        </w:numPr>
        <w:rPr>
          <w:rFonts w:asciiTheme="majorBidi" w:hAnsiTheme="majorBidi" w:cstheme="majorBidi"/>
          <w:color w:val="000000"/>
        </w:rPr>
      </w:pPr>
      <w:r w:rsidRPr="00612DA0">
        <w:rPr>
          <w:rFonts w:asciiTheme="majorBidi" w:hAnsiTheme="majorBidi" w:cstheme="majorBidi"/>
          <w:color w:val="000000"/>
        </w:rPr>
        <w:t>Hedging or mitigation coverage</w:t>
      </w:r>
    </w:p>
    <w:p w14:paraId="01C4C711"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5C4B272C">
          <v:rect id="_x0000_i1030" alt="" style="width:468pt;height:.05pt;mso-width-percent:0;mso-height-percent:0;mso-width-percent:0;mso-height-percent:0" o:hralign="center" o:hrstd="t" o:hr="t" fillcolor="#a0a0a0" stroked="f"/>
        </w:pict>
      </w:r>
    </w:p>
    <w:p w14:paraId="7515931E"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t>Key Macroeconomic &amp; Inflation Indicators</w:t>
      </w:r>
    </w:p>
    <w:p w14:paraId="57B9CBBA" w14:textId="77777777" w:rsidR="00612DA0" w:rsidRPr="00612DA0" w:rsidRDefault="00612DA0" w:rsidP="00612DA0">
      <w:pPr>
        <w:pStyle w:val="NormalWeb"/>
        <w:numPr>
          <w:ilvl w:val="0"/>
          <w:numId w:val="19"/>
        </w:numPr>
        <w:rPr>
          <w:rFonts w:asciiTheme="majorBidi" w:hAnsiTheme="majorBidi" w:cstheme="majorBidi"/>
          <w:color w:val="000000"/>
        </w:rPr>
      </w:pPr>
      <w:r w:rsidRPr="00612DA0">
        <w:rPr>
          <w:rFonts w:asciiTheme="majorBidi" w:hAnsiTheme="majorBidi" w:cstheme="majorBidi"/>
          <w:color w:val="000000"/>
        </w:rPr>
        <w:t>Commodity price trends (metals, energy, plastics)</w:t>
      </w:r>
    </w:p>
    <w:p w14:paraId="0DC989A5" w14:textId="77777777" w:rsidR="00612DA0" w:rsidRPr="00612DA0" w:rsidRDefault="00612DA0" w:rsidP="00612DA0">
      <w:pPr>
        <w:pStyle w:val="NormalWeb"/>
        <w:numPr>
          <w:ilvl w:val="0"/>
          <w:numId w:val="19"/>
        </w:numPr>
        <w:rPr>
          <w:rFonts w:asciiTheme="majorBidi" w:hAnsiTheme="majorBidi" w:cstheme="majorBidi"/>
          <w:color w:val="000000"/>
        </w:rPr>
      </w:pPr>
      <w:r w:rsidRPr="00612DA0">
        <w:rPr>
          <w:rFonts w:asciiTheme="majorBidi" w:hAnsiTheme="majorBidi" w:cstheme="majorBidi"/>
          <w:color w:val="000000"/>
        </w:rPr>
        <w:t>Transportation and logistics cost indices</w:t>
      </w:r>
    </w:p>
    <w:p w14:paraId="07B24813" w14:textId="77777777" w:rsidR="00612DA0" w:rsidRPr="00612DA0" w:rsidRDefault="00612DA0" w:rsidP="00612DA0">
      <w:pPr>
        <w:pStyle w:val="NormalWeb"/>
        <w:numPr>
          <w:ilvl w:val="0"/>
          <w:numId w:val="19"/>
        </w:numPr>
        <w:rPr>
          <w:rFonts w:asciiTheme="majorBidi" w:hAnsiTheme="majorBidi" w:cstheme="majorBidi"/>
          <w:color w:val="000000"/>
        </w:rPr>
      </w:pPr>
      <w:r w:rsidRPr="00612DA0">
        <w:rPr>
          <w:rFonts w:asciiTheme="majorBidi" w:hAnsiTheme="majorBidi" w:cstheme="majorBidi"/>
          <w:color w:val="000000"/>
        </w:rPr>
        <w:t>Consumer spending patterns affecting demand forecasts</w:t>
      </w:r>
    </w:p>
    <w:p w14:paraId="5D83BF2B" w14:textId="77777777" w:rsidR="00612DA0" w:rsidRPr="00612DA0" w:rsidRDefault="00612DA0" w:rsidP="00612DA0">
      <w:pPr>
        <w:pStyle w:val="NormalWeb"/>
        <w:numPr>
          <w:ilvl w:val="0"/>
          <w:numId w:val="19"/>
        </w:numPr>
        <w:rPr>
          <w:rFonts w:asciiTheme="majorBidi" w:hAnsiTheme="majorBidi" w:cstheme="majorBidi"/>
          <w:color w:val="000000"/>
        </w:rPr>
      </w:pPr>
      <w:r w:rsidRPr="00612DA0">
        <w:rPr>
          <w:rFonts w:asciiTheme="majorBidi" w:hAnsiTheme="majorBidi" w:cstheme="majorBidi"/>
          <w:color w:val="000000"/>
        </w:rPr>
        <w:t>Currency volatility and foreign exchange exposure</w:t>
      </w:r>
    </w:p>
    <w:p w14:paraId="2249AC4A" w14:textId="77777777" w:rsidR="00612DA0" w:rsidRPr="00612DA0" w:rsidRDefault="00612DA0" w:rsidP="00612DA0">
      <w:pPr>
        <w:pStyle w:val="NormalWeb"/>
        <w:rPr>
          <w:rFonts w:asciiTheme="majorBidi" w:hAnsiTheme="majorBidi" w:cstheme="majorBidi"/>
          <w:color w:val="000000"/>
        </w:rPr>
      </w:pPr>
      <w:r w:rsidRPr="00612DA0">
        <w:rPr>
          <w:rStyle w:val="Strong"/>
          <w:rFonts w:asciiTheme="majorBidi" w:eastAsiaTheme="majorEastAsia" w:hAnsiTheme="majorBidi" w:cstheme="majorBidi"/>
          <w:color w:val="000000"/>
        </w:rPr>
        <w:t>Visualization Suggestions:</w:t>
      </w:r>
    </w:p>
    <w:p w14:paraId="7F635A49" w14:textId="77777777" w:rsidR="00612DA0" w:rsidRPr="00612DA0" w:rsidRDefault="00612DA0" w:rsidP="00612DA0">
      <w:pPr>
        <w:pStyle w:val="NormalWeb"/>
        <w:numPr>
          <w:ilvl w:val="0"/>
          <w:numId w:val="20"/>
        </w:numPr>
        <w:rPr>
          <w:rFonts w:asciiTheme="majorBidi" w:hAnsiTheme="majorBidi" w:cstheme="majorBidi"/>
          <w:color w:val="000000"/>
        </w:rPr>
      </w:pPr>
      <w:r w:rsidRPr="00612DA0">
        <w:rPr>
          <w:rFonts w:asciiTheme="majorBidi" w:hAnsiTheme="majorBidi" w:cstheme="majorBidi"/>
          <w:color w:val="000000"/>
        </w:rPr>
        <w:t>Line chart showing commodity price impact on projects</w:t>
      </w:r>
    </w:p>
    <w:p w14:paraId="218BA6B2" w14:textId="77777777" w:rsidR="00612DA0" w:rsidRPr="00612DA0" w:rsidRDefault="00612DA0" w:rsidP="00612DA0">
      <w:pPr>
        <w:pStyle w:val="NormalWeb"/>
        <w:numPr>
          <w:ilvl w:val="0"/>
          <w:numId w:val="20"/>
        </w:numPr>
        <w:rPr>
          <w:rFonts w:asciiTheme="majorBidi" w:hAnsiTheme="majorBidi" w:cstheme="majorBidi"/>
          <w:color w:val="000000"/>
        </w:rPr>
      </w:pPr>
      <w:r w:rsidRPr="00612DA0">
        <w:rPr>
          <w:rFonts w:asciiTheme="majorBidi" w:hAnsiTheme="majorBidi" w:cstheme="majorBidi"/>
          <w:color w:val="000000"/>
        </w:rPr>
        <w:t>Bar chart of programs by inflation exposure and mitigation readiness</w:t>
      </w:r>
    </w:p>
    <w:p w14:paraId="0586BE07"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lastRenderedPageBreak/>
        <w:pict w14:anchorId="55DD9942">
          <v:rect id="_x0000_i1029" alt="" style="width:468pt;height:.05pt;mso-width-percent:0;mso-height-percent:0;mso-width-percent:0;mso-height-percent:0" o:hralign="center" o:hrstd="t" o:hr="t" fillcolor="#a0a0a0" stroked="f"/>
        </w:pict>
      </w:r>
    </w:p>
    <w:p w14:paraId="1D34D156"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t>Project-Specific Insights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18"/>
        <w:gridCol w:w="1822"/>
        <w:gridCol w:w="1863"/>
        <w:gridCol w:w="1947"/>
        <w:gridCol w:w="1154"/>
        <w:gridCol w:w="1456"/>
      </w:tblGrid>
      <w:tr w:rsidR="00612DA0" w:rsidRPr="00612DA0" w14:paraId="1E1EF635" w14:textId="77777777">
        <w:trPr>
          <w:tblHeader/>
          <w:tblCellSpacing w:w="15" w:type="dxa"/>
        </w:trPr>
        <w:tc>
          <w:tcPr>
            <w:tcW w:w="0" w:type="auto"/>
            <w:vAlign w:val="center"/>
            <w:hideMark/>
          </w:tcPr>
          <w:p w14:paraId="0E4F8BF7"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Initiative</w:t>
            </w:r>
          </w:p>
        </w:tc>
        <w:tc>
          <w:tcPr>
            <w:tcW w:w="0" w:type="auto"/>
            <w:vAlign w:val="center"/>
            <w:hideMark/>
          </w:tcPr>
          <w:p w14:paraId="1CB92D4B"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Inflation/Cost Challenge</w:t>
            </w:r>
          </w:p>
        </w:tc>
        <w:tc>
          <w:tcPr>
            <w:tcW w:w="0" w:type="auto"/>
            <w:vAlign w:val="center"/>
            <w:hideMark/>
          </w:tcPr>
          <w:p w14:paraId="070B5052"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Root Cause</w:t>
            </w:r>
          </w:p>
        </w:tc>
        <w:tc>
          <w:tcPr>
            <w:tcW w:w="0" w:type="auto"/>
            <w:vAlign w:val="center"/>
            <w:hideMark/>
          </w:tcPr>
          <w:p w14:paraId="5815047F"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Action Taken</w:t>
            </w:r>
          </w:p>
        </w:tc>
        <w:tc>
          <w:tcPr>
            <w:tcW w:w="0" w:type="auto"/>
            <w:vAlign w:val="center"/>
            <w:hideMark/>
          </w:tcPr>
          <w:p w14:paraId="395A6A82"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Status</w:t>
            </w:r>
          </w:p>
        </w:tc>
        <w:tc>
          <w:tcPr>
            <w:tcW w:w="0" w:type="auto"/>
            <w:vAlign w:val="center"/>
            <w:hideMark/>
          </w:tcPr>
          <w:p w14:paraId="5CB4C60E"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Expected Impact</w:t>
            </w:r>
          </w:p>
        </w:tc>
      </w:tr>
      <w:tr w:rsidR="00612DA0" w:rsidRPr="00612DA0" w14:paraId="0AC59A03" w14:textId="77777777">
        <w:trPr>
          <w:tblCellSpacing w:w="15" w:type="dxa"/>
        </w:trPr>
        <w:tc>
          <w:tcPr>
            <w:tcW w:w="0" w:type="auto"/>
            <w:vAlign w:val="center"/>
            <w:hideMark/>
          </w:tcPr>
          <w:p w14:paraId="24D8110B" w14:textId="77777777" w:rsidR="00612DA0" w:rsidRPr="00612DA0" w:rsidRDefault="00612DA0">
            <w:pPr>
              <w:rPr>
                <w:rFonts w:asciiTheme="majorBidi" w:hAnsiTheme="majorBidi" w:cstheme="majorBidi"/>
              </w:rPr>
            </w:pPr>
            <w:r w:rsidRPr="00612DA0">
              <w:rPr>
                <w:rFonts w:asciiTheme="majorBidi" w:hAnsiTheme="majorBidi" w:cstheme="majorBidi"/>
              </w:rPr>
              <w:t>Product Y</w:t>
            </w:r>
          </w:p>
        </w:tc>
        <w:tc>
          <w:tcPr>
            <w:tcW w:w="0" w:type="auto"/>
            <w:vAlign w:val="center"/>
            <w:hideMark/>
          </w:tcPr>
          <w:p w14:paraId="101298E8" w14:textId="77777777" w:rsidR="00612DA0" w:rsidRPr="00612DA0" w:rsidRDefault="00612DA0">
            <w:pPr>
              <w:rPr>
                <w:rFonts w:asciiTheme="majorBidi" w:hAnsiTheme="majorBidi" w:cstheme="majorBidi"/>
              </w:rPr>
            </w:pPr>
            <w:r w:rsidRPr="00612DA0">
              <w:rPr>
                <w:rFonts w:asciiTheme="majorBidi" w:hAnsiTheme="majorBidi" w:cstheme="majorBidi"/>
              </w:rPr>
              <w:t>Material cost increase</w:t>
            </w:r>
          </w:p>
        </w:tc>
        <w:tc>
          <w:tcPr>
            <w:tcW w:w="0" w:type="auto"/>
            <w:vAlign w:val="center"/>
            <w:hideMark/>
          </w:tcPr>
          <w:p w14:paraId="3480C1D1" w14:textId="77777777" w:rsidR="00612DA0" w:rsidRPr="00612DA0" w:rsidRDefault="00612DA0">
            <w:pPr>
              <w:rPr>
                <w:rFonts w:asciiTheme="majorBidi" w:hAnsiTheme="majorBidi" w:cstheme="majorBidi"/>
              </w:rPr>
            </w:pPr>
            <w:r w:rsidRPr="00612DA0">
              <w:rPr>
                <w:rFonts w:asciiTheme="majorBidi" w:hAnsiTheme="majorBidi" w:cstheme="majorBidi"/>
              </w:rPr>
              <w:t>Steel &amp; semiconductor price spikes</w:t>
            </w:r>
          </w:p>
        </w:tc>
        <w:tc>
          <w:tcPr>
            <w:tcW w:w="0" w:type="auto"/>
            <w:vAlign w:val="center"/>
            <w:hideMark/>
          </w:tcPr>
          <w:p w14:paraId="4A9837FB" w14:textId="77777777" w:rsidR="00612DA0" w:rsidRPr="00612DA0" w:rsidRDefault="00612DA0">
            <w:pPr>
              <w:rPr>
                <w:rFonts w:asciiTheme="majorBidi" w:hAnsiTheme="majorBidi" w:cstheme="majorBidi"/>
              </w:rPr>
            </w:pPr>
            <w:r w:rsidRPr="00612DA0">
              <w:rPr>
                <w:rFonts w:asciiTheme="majorBidi" w:hAnsiTheme="majorBidi" w:cstheme="majorBidi"/>
              </w:rPr>
              <w:t>Alternative sourcing, redesign</w:t>
            </w:r>
          </w:p>
        </w:tc>
        <w:tc>
          <w:tcPr>
            <w:tcW w:w="0" w:type="auto"/>
            <w:vAlign w:val="center"/>
            <w:hideMark/>
          </w:tcPr>
          <w:p w14:paraId="4CA875D8" w14:textId="77777777" w:rsidR="00612DA0" w:rsidRPr="00612DA0" w:rsidRDefault="00612DA0">
            <w:pPr>
              <w:rPr>
                <w:rFonts w:asciiTheme="majorBidi" w:hAnsiTheme="majorBidi" w:cstheme="majorBidi"/>
              </w:rPr>
            </w:pPr>
            <w:r w:rsidRPr="00612DA0">
              <w:rPr>
                <w:rFonts w:asciiTheme="majorBidi" w:hAnsiTheme="majorBidi" w:cstheme="majorBidi"/>
              </w:rPr>
              <w:t>On track</w:t>
            </w:r>
          </w:p>
        </w:tc>
        <w:tc>
          <w:tcPr>
            <w:tcW w:w="0" w:type="auto"/>
            <w:vAlign w:val="center"/>
            <w:hideMark/>
          </w:tcPr>
          <w:p w14:paraId="75BDBB41" w14:textId="77777777" w:rsidR="00612DA0" w:rsidRPr="00612DA0" w:rsidRDefault="00612DA0">
            <w:pPr>
              <w:rPr>
                <w:rFonts w:asciiTheme="majorBidi" w:hAnsiTheme="majorBidi" w:cstheme="majorBidi"/>
              </w:rPr>
            </w:pPr>
            <w:r w:rsidRPr="00612DA0">
              <w:rPr>
                <w:rFonts w:asciiTheme="majorBidi" w:hAnsiTheme="majorBidi" w:cstheme="majorBidi"/>
              </w:rPr>
              <w:t>Reduces 60% risk of overrun</w:t>
            </w:r>
          </w:p>
        </w:tc>
      </w:tr>
      <w:tr w:rsidR="00612DA0" w:rsidRPr="00612DA0" w14:paraId="059D4DDB" w14:textId="77777777">
        <w:trPr>
          <w:tblCellSpacing w:w="15" w:type="dxa"/>
        </w:trPr>
        <w:tc>
          <w:tcPr>
            <w:tcW w:w="0" w:type="auto"/>
            <w:vAlign w:val="center"/>
            <w:hideMark/>
          </w:tcPr>
          <w:p w14:paraId="59B2200F" w14:textId="77777777" w:rsidR="00612DA0" w:rsidRPr="00612DA0" w:rsidRDefault="00612DA0">
            <w:pPr>
              <w:rPr>
                <w:rFonts w:asciiTheme="majorBidi" w:hAnsiTheme="majorBidi" w:cstheme="majorBidi"/>
              </w:rPr>
            </w:pPr>
            <w:r w:rsidRPr="00612DA0">
              <w:rPr>
                <w:rFonts w:asciiTheme="majorBidi" w:hAnsiTheme="majorBidi" w:cstheme="majorBidi"/>
              </w:rPr>
              <w:t>Cloud Platform</w:t>
            </w:r>
          </w:p>
        </w:tc>
        <w:tc>
          <w:tcPr>
            <w:tcW w:w="0" w:type="auto"/>
            <w:vAlign w:val="center"/>
            <w:hideMark/>
          </w:tcPr>
          <w:p w14:paraId="2184B76B" w14:textId="77777777" w:rsidR="00612DA0" w:rsidRPr="00612DA0" w:rsidRDefault="00612DA0">
            <w:pPr>
              <w:rPr>
                <w:rFonts w:asciiTheme="majorBidi" w:hAnsiTheme="majorBidi" w:cstheme="majorBidi"/>
              </w:rPr>
            </w:pPr>
            <w:r w:rsidRPr="00612DA0">
              <w:rPr>
                <w:rFonts w:asciiTheme="majorBidi" w:hAnsiTheme="majorBidi" w:cstheme="majorBidi"/>
              </w:rPr>
              <w:t>Energy cost surge</w:t>
            </w:r>
          </w:p>
        </w:tc>
        <w:tc>
          <w:tcPr>
            <w:tcW w:w="0" w:type="auto"/>
            <w:vAlign w:val="center"/>
            <w:hideMark/>
          </w:tcPr>
          <w:p w14:paraId="7B7D40C9" w14:textId="77777777" w:rsidR="00612DA0" w:rsidRPr="00612DA0" w:rsidRDefault="00612DA0">
            <w:pPr>
              <w:rPr>
                <w:rFonts w:asciiTheme="majorBidi" w:hAnsiTheme="majorBidi" w:cstheme="majorBidi"/>
              </w:rPr>
            </w:pPr>
            <w:r w:rsidRPr="00612DA0">
              <w:rPr>
                <w:rFonts w:asciiTheme="majorBidi" w:hAnsiTheme="majorBidi" w:cstheme="majorBidi"/>
              </w:rPr>
              <w:t>Electricity and cooling</w:t>
            </w:r>
          </w:p>
        </w:tc>
        <w:tc>
          <w:tcPr>
            <w:tcW w:w="0" w:type="auto"/>
            <w:vAlign w:val="center"/>
            <w:hideMark/>
          </w:tcPr>
          <w:p w14:paraId="0F2B52B6" w14:textId="77777777" w:rsidR="00612DA0" w:rsidRPr="00612DA0" w:rsidRDefault="00612DA0">
            <w:pPr>
              <w:rPr>
                <w:rFonts w:asciiTheme="majorBidi" w:hAnsiTheme="majorBidi" w:cstheme="majorBidi"/>
              </w:rPr>
            </w:pPr>
            <w:r w:rsidRPr="00612DA0">
              <w:rPr>
                <w:rFonts w:asciiTheme="majorBidi" w:hAnsiTheme="majorBidi" w:cstheme="majorBidi"/>
              </w:rPr>
              <w:t>Optimize usage; renegotiate supplier contracts</w:t>
            </w:r>
          </w:p>
        </w:tc>
        <w:tc>
          <w:tcPr>
            <w:tcW w:w="0" w:type="auto"/>
            <w:vAlign w:val="center"/>
            <w:hideMark/>
          </w:tcPr>
          <w:p w14:paraId="0C10D4FB" w14:textId="77777777" w:rsidR="00612DA0" w:rsidRPr="00612DA0" w:rsidRDefault="00612DA0">
            <w:pPr>
              <w:rPr>
                <w:rFonts w:asciiTheme="majorBidi" w:hAnsiTheme="majorBidi" w:cstheme="majorBidi"/>
              </w:rPr>
            </w:pPr>
            <w:r w:rsidRPr="00612DA0">
              <w:rPr>
                <w:rFonts w:asciiTheme="majorBidi" w:hAnsiTheme="majorBidi" w:cstheme="majorBidi"/>
              </w:rPr>
              <w:t>At risk</w:t>
            </w:r>
          </w:p>
        </w:tc>
        <w:tc>
          <w:tcPr>
            <w:tcW w:w="0" w:type="auto"/>
            <w:vAlign w:val="center"/>
            <w:hideMark/>
          </w:tcPr>
          <w:p w14:paraId="7CC751E2" w14:textId="77777777" w:rsidR="00612DA0" w:rsidRPr="00612DA0" w:rsidRDefault="00612DA0">
            <w:pPr>
              <w:rPr>
                <w:rFonts w:asciiTheme="majorBidi" w:hAnsiTheme="majorBidi" w:cstheme="majorBidi"/>
              </w:rPr>
            </w:pPr>
            <w:r w:rsidRPr="00612DA0">
              <w:rPr>
                <w:rFonts w:asciiTheme="majorBidi" w:hAnsiTheme="majorBidi" w:cstheme="majorBidi"/>
              </w:rPr>
              <w:t>3% cost reduction</w:t>
            </w:r>
          </w:p>
        </w:tc>
      </w:tr>
      <w:tr w:rsidR="00612DA0" w:rsidRPr="00612DA0" w14:paraId="723E2457" w14:textId="77777777">
        <w:trPr>
          <w:tblCellSpacing w:w="15" w:type="dxa"/>
        </w:trPr>
        <w:tc>
          <w:tcPr>
            <w:tcW w:w="0" w:type="auto"/>
            <w:vAlign w:val="center"/>
            <w:hideMark/>
          </w:tcPr>
          <w:p w14:paraId="7EC07CAF" w14:textId="77777777" w:rsidR="00612DA0" w:rsidRPr="00612DA0" w:rsidRDefault="00612DA0">
            <w:pPr>
              <w:rPr>
                <w:rFonts w:asciiTheme="majorBidi" w:hAnsiTheme="majorBidi" w:cstheme="majorBidi"/>
              </w:rPr>
            </w:pPr>
            <w:r w:rsidRPr="00612DA0">
              <w:rPr>
                <w:rFonts w:asciiTheme="majorBidi" w:hAnsiTheme="majorBidi" w:cstheme="majorBidi"/>
              </w:rPr>
              <w:t>Battery R&amp;D</w:t>
            </w:r>
          </w:p>
        </w:tc>
        <w:tc>
          <w:tcPr>
            <w:tcW w:w="0" w:type="auto"/>
            <w:vAlign w:val="center"/>
            <w:hideMark/>
          </w:tcPr>
          <w:p w14:paraId="397C3345" w14:textId="77777777" w:rsidR="00612DA0" w:rsidRPr="00612DA0" w:rsidRDefault="00612DA0">
            <w:pPr>
              <w:rPr>
                <w:rFonts w:asciiTheme="majorBidi" w:hAnsiTheme="majorBidi" w:cstheme="majorBidi"/>
              </w:rPr>
            </w:pPr>
            <w:r w:rsidRPr="00612DA0">
              <w:rPr>
                <w:rFonts w:asciiTheme="majorBidi" w:hAnsiTheme="majorBidi" w:cstheme="majorBidi"/>
              </w:rPr>
              <w:t>Lithium &amp; cobalt price volatility</w:t>
            </w:r>
          </w:p>
        </w:tc>
        <w:tc>
          <w:tcPr>
            <w:tcW w:w="0" w:type="auto"/>
            <w:vAlign w:val="center"/>
            <w:hideMark/>
          </w:tcPr>
          <w:p w14:paraId="6CC7B4E8" w14:textId="77777777" w:rsidR="00612DA0" w:rsidRPr="00612DA0" w:rsidRDefault="00612DA0">
            <w:pPr>
              <w:rPr>
                <w:rFonts w:asciiTheme="majorBidi" w:hAnsiTheme="majorBidi" w:cstheme="majorBidi"/>
              </w:rPr>
            </w:pPr>
            <w:r w:rsidRPr="00612DA0">
              <w:rPr>
                <w:rFonts w:asciiTheme="majorBidi" w:hAnsiTheme="majorBidi" w:cstheme="majorBidi"/>
              </w:rPr>
              <w:t>Supply scarcity</w:t>
            </w:r>
          </w:p>
        </w:tc>
        <w:tc>
          <w:tcPr>
            <w:tcW w:w="0" w:type="auto"/>
            <w:vAlign w:val="center"/>
            <w:hideMark/>
          </w:tcPr>
          <w:p w14:paraId="44741620" w14:textId="77777777" w:rsidR="00612DA0" w:rsidRPr="00612DA0" w:rsidRDefault="00612DA0">
            <w:pPr>
              <w:rPr>
                <w:rFonts w:asciiTheme="majorBidi" w:hAnsiTheme="majorBidi" w:cstheme="majorBidi"/>
              </w:rPr>
            </w:pPr>
            <w:r w:rsidRPr="00612DA0">
              <w:rPr>
                <w:rFonts w:asciiTheme="majorBidi" w:hAnsiTheme="majorBidi" w:cstheme="majorBidi"/>
              </w:rPr>
              <w:t>Local supplier partnerships; explore substitutes</w:t>
            </w:r>
          </w:p>
        </w:tc>
        <w:tc>
          <w:tcPr>
            <w:tcW w:w="0" w:type="auto"/>
            <w:vAlign w:val="center"/>
            <w:hideMark/>
          </w:tcPr>
          <w:p w14:paraId="3481AE68" w14:textId="77777777" w:rsidR="00612DA0" w:rsidRPr="00612DA0" w:rsidRDefault="00612DA0">
            <w:pPr>
              <w:rPr>
                <w:rFonts w:asciiTheme="majorBidi" w:hAnsiTheme="majorBidi" w:cstheme="majorBidi"/>
              </w:rPr>
            </w:pPr>
            <w:r w:rsidRPr="00612DA0">
              <w:rPr>
                <w:rFonts w:asciiTheme="majorBidi" w:hAnsiTheme="majorBidi" w:cstheme="majorBidi"/>
              </w:rPr>
              <w:t>Monitoring</w:t>
            </w:r>
          </w:p>
        </w:tc>
        <w:tc>
          <w:tcPr>
            <w:tcW w:w="0" w:type="auto"/>
            <w:vAlign w:val="center"/>
            <w:hideMark/>
          </w:tcPr>
          <w:p w14:paraId="6E0C8B05" w14:textId="77777777" w:rsidR="00612DA0" w:rsidRPr="00612DA0" w:rsidRDefault="00612DA0">
            <w:pPr>
              <w:rPr>
                <w:rFonts w:asciiTheme="majorBidi" w:hAnsiTheme="majorBidi" w:cstheme="majorBidi"/>
              </w:rPr>
            </w:pPr>
            <w:r w:rsidRPr="00612DA0">
              <w:rPr>
                <w:rFonts w:asciiTheme="majorBidi" w:hAnsiTheme="majorBidi" w:cstheme="majorBidi"/>
              </w:rPr>
              <w:t>Potential 5–10% budget increase</w:t>
            </w:r>
          </w:p>
        </w:tc>
      </w:tr>
    </w:tbl>
    <w:p w14:paraId="5505229A"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0CE4BD42">
          <v:rect id="_x0000_i1028" alt="" style="width:468pt;height:.05pt;mso-width-percent:0;mso-height-percent:0;mso-width-percent:0;mso-height-percent:0" o:hralign="center" o:hrstd="t" o:hr="t" fillcolor="#a0a0a0" stroked="f"/>
        </w:pict>
      </w:r>
    </w:p>
    <w:p w14:paraId="410D57AB"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t>Strategic Actions to Mitigate Inflation &amp; Economic Risk</w:t>
      </w:r>
    </w:p>
    <w:p w14:paraId="37E92046" w14:textId="77777777" w:rsidR="00612DA0" w:rsidRPr="00612DA0" w:rsidRDefault="00612DA0" w:rsidP="00612DA0">
      <w:pPr>
        <w:pStyle w:val="NormalWeb"/>
        <w:numPr>
          <w:ilvl w:val="0"/>
          <w:numId w:val="21"/>
        </w:numPr>
        <w:rPr>
          <w:rFonts w:asciiTheme="majorBidi" w:hAnsiTheme="majorBidi" w:cstheme="majorBidi"/>
          <w:color w:val="000000"/>
        </w:rPr>
      </w:pPr>
      <w:r w:rsidRPr="00612DA0">
        <w:rPr>
          <w:rStyle w:val="Strong"/>
          <w:rFonts w:asciiTheme="majorBidi" w:eastAsiaTheme="majorEastAsia" w:hAnsiTheme="majorBidi" w:cstheme="majorBidi"/>
          <w:color w:val="000000"/>
        </w:rPr>
        <w:t>Alternative Sourcing &amp; Supplier Diversification:</w:t>
      </w:r>
      <w:r w:rsidRPr="00612DA0">
        <w:rPr>
          <w:rStyle w:val="apple-converted-space"/>
          <w:rFonts w:asciiTheme="majorBidi" w:eastAsiaTheme="majorEastAsia" w:hAnsiTheme="majorBidi" w:cstheme="majorBidi"/>
          <w:color w:val="000000"/>
        </w:rPr>
        <w:t> </w:t>
      </w:r>
      <w:r w:rsidRPr="00612DA0">
        <w:rPr>
          <w:rFonts w:asciiTheme="majorBidi" w:hAnsiTheme="majorBidi" w:cstheme="majorBidi"/>
          <w:color w:val="000000"/>
        </w:rPr>
        <w:t>Reduce dependency on high-cost or volatile regions.</w:t>
      </w:r>
    </w:p>
    <w:p w14:paraId="0587FF84" w14:textId="77777777" w:rsidR="00612DA0" w:rsidRPr="00612DA0" w:rsidRDefault="00612DA0" w:rsidP="00612DA0">
      <w:pPr>
        <w:pStyle w:val="NormalWeb"/>
        <w:numPr>
          <w:ilvl w:val="0"/>
          <w:numId w:val="21"/>
        </w:numPr>
        <w:rPr>
          <w:rFonts w:asciiTheme="majorBidi" w:hAnsiTheme="majorBidi" w:cstheme="majorBidi"/>
          <w:color w:val="000000"/>
        </w:rPr>
      </w:pPr>
      <w:r w:rsidRPr="00612DA0">
        <w:rPr>
          <w:rStyle w:val="Strong"/>
          <w:rFonts w:asciiTheme="majorBidi" w:eastAsiaTheme="majorEastAsia" w:hAnsiTheme="majorBidi" w:cstheme="majorBidi"/>
          <w:color w:val="000000"/>
        </w:rPr>
        <w:t>Cost Hedging:</w:t>
      </w:r>
      <w:r w:rsidRPr="00612DA0">
        <w:rPr>
          <w:rStyle w:val="apple-converted-space"/>
          <w:rFonts w:asciiTheme="majorBidi" w:eastAsiaTheme="majorEastAsia" w:hAnsiTheme="majorBidi" w:cstheme="majorBidi"/>
          <w:color w:val="000000"/>
        </w:rPr>
        <w:t> </w:t>
      </w:r>
      <w:r w:rsidRPr="00612DA0">
        <w:rPr>
          <w:rFonts w:asciiTheme="majorBidi" w:hAnsiTheme="majorBidi" w:cstheme="majorBidi"/>
          <w:color w:val="000000"/>
        </w:rPr>
        <w:t>Lock in commodity prices or forward contracts where feasible.</w:t>
      </w:r>
    </w:p>
    <w:p w14:paraId="4D621583" w14:textId="77777777" w:rsidR="00612DA0" w:rsidRPr="00612DA0" w:rsidRDefault="00612DA0" w:rsidP="00612DA0">
      <w:pPr>
        <w:pStyle w:val="NormalWeb"/>
        <w:numPr>
          <w:ilvl w:val="0"/>
          <w:numId w:val="21"/>
        </w:numPr>
        <w:rPr>
          <w:rFonts w:asciiTheme="majorBidi" w:hAnsiTheme="majorBidi" w:cstheme="majorBidi"/>
          <w:color w:val="000000"/>
        </w:rPr>
      </w:pPr>
      <w:r w:rsidRPr="00612DA0">
        <w:rPr>
          <w:rStyle w:val="Strong"/>
          <w:rFonts w:asciiTheme="majorBidi" w:eastAsiaTheme="majorEastAsia" w:hAnsiTheme="majorBidi" w:cstheme="majorBidi"/>
          <w:color w:val="000000"/>
        </w:rPr>
        <w:t>Design for Flexibility:</w:t>
      </w:r>
      <w:r w:rsidRPr="00612DA0">
        <w:rPr>
          <w:rStyle w:val="apple-converted-space"/>
          <w:rFonts w:asciiTheme="majorBidi" w:eastAsiaTheme="majorEastAsia" w:hAnsiTheme="majorBidi" w:cstheme="majorBidi"/>
          <w:color w:val="000000"/>
        </w:rPr>
        <w:t> </w:t>
      </w:r>
      <w:r w:rsidRPr="00612DA0">
        <w:rPr>
          <w:rFonts w:asciiTheme="majorBidi" w:hAnsiTheme="majorBidi" w:cstheme="majorBidi"/>
          <w:color w:val="000000"/>
        </w:rPr>
        <w:t>Optimize material usage, modularity, and scalable production.</w:t>
      </w:r>
    </w:p>
    <w:p w14:paraId="46E02306" w14:textId="77777777" w:rsidR="00612DA0" w:rsidRPr="00612DA0" w:rsidRDefault="00612DA0" w:rsidP="00612DA0">
      <w:pPr>
        <w:pStyle w:val="NormalWeb"/>
        <w:numPr>
          <w:ilvl w:val="0"/>
          <w:numId w:val="21"/>
        </w:numPr>
        <w:rPr>
          <w:rFonts w:asciiTheme="majorBidi" w:hAnsiTheme="majorBidi" w:cstheme="majorBidi"/>
          <w:color w:val="000000"/>
        </w:rPr>
      </w:pPr>
      <w:r w:rsidRPr="00612DA0">
        <w:rPr>
          <w:rStyle w:val="Strong"/>
          <w:rFonts w:asciiTheme="majorBidi" w:eastAsiaTheme="majorEastAsia" w:hAnsiTheme="majorBidi" w:cstheme="majorBidi"/>
          <w:color w:val="000000"/>
        </w:rPr>
        <w:t>Consumer-Sensitive Innovation:</w:t>
      </w:r>
      <w:r w:rsidRPr="00612DA0">
        <w:rPr>
          <w:rStyle w:val="apple-converted-space"/>
          <w:rFonts w:asciiTheme="majorBidi" w:eastAsiaTheme="majorEastAsia" w:hAnsiTheme="majorBidi" w:cstheme="majorBidi"/>
          <w:color w:val="000000"/>
        </w:rPr>
        <w:t> </w:t>
      </w:r>
      <w:r w:rsidRPr="00612DA0">
        <w:rPr>
          <w:rFonts w:asciiTheme="majorBidi" w:hAnsiTheme="majorBidi" w:cstheme="majorBidi"/>
          <w:color w:val="000000"/>
        </w:rPr>
        <w:t>Adjust product launches or pricing strategies to account for shifts in spending.</w:t>
      </w:r>
    </w:p>
    <w:p w14:paraId="1FAC6E41" w14:textId="77777777" w:rsidR="00612DA0" w:rsidRPr="00612DA0" w:rsidRDefault="00612DA0" w:rsidP="00612DA0">
      <w:pPr>
        <w:pStyle w:val="NormalWeb"/>
        <w:numPr>
          <w:ilvl w:val="0"/>
          <w:numId w:val="21"/>
        </w:numPr>
        <w:rPr>
          <w:rFonts w:asciiTheme="majorBidi" w:hAnsiTheme="majorBidi" w:cstheme="majorBidi"/>
          <w:color w:val="000000"/>
        </w:rPr>
      </w:pPr>
      <w:r w:rsidRPr="00612DA0">
        <w:rPr>
          <w:rStyle w:val="Strong"/>
          <w:rFonts w:asciiTheme="majorBidi" w:eastAsiaTheme="majorEastAsia" w:hAnsiTheme="majorBidi" w:cstheme="majorBidi"/>
          <w:color w:val="000000"/>
        </w:rPr>
        <w:t>Scenario Planning:</w:t>
      </w:r>
      <w:r w:rsidRPr="00612DA0">
        <w:rPr>
          <w:rStyle w:val="apple-converted-space"/>
          <w:rFonts w:asciiTheme="majorBidi" w:eastAsiaTheme="majorEastAsia" w:hAnsiTheme="majorBidi" w:cstheme="majorBidi"/>
          <w:color w:val="000000"/>
        </w:rPr>
        <w:t> </w:t>
      </w:r>
      <w:r w:rsidRPr="00612DA0">
        <w:rPr>
          <w:rFonts w:asciiTheme="majorBidi" w:hAnsiTheme="majorBidi" w:cstheme="majorBidi"/>
          <w:color w:val="000000"/>
        </w:rPr>
        <w:t>Model program outcomes under high, medium, and low inflation scenarios.</w:t>
      </w:r>
    </w:p>
    <w:p w14:paraId="350E7B9F"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6B83798D">
          <v:rect id="_x0000_i1027" alt="" style="width:468pt;height:.05pt;mso-width-percent:0;mso-height-percent:0;mso-width-percent:0;mso-height-percent:0" o:hralign="center" o:hrstd="t" o:hr="t" fillcolor="#a0a0a0" stroked="f"/>
        </w:pict>
      </w:r>
    </w:p>
    <w:p w14:paraId="07A94B99"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t>Emerging Opportunities</w:t>
      </w:r>
    </w:p>
    <w:p w14:paraId="04C5CEFA" w14:textId="77777777" w:rsidR="00612DA0" w:rsidRPr="00612DA0" w:rsidRDefault="00612DA0" w:rsidP="00612DA0">
      <w:pPr>
        <w:pStyle w:val="NormalWeb"/>
        <w:numPr>
          <w:ilvl w:val="0"/>
          <w:numId w:val="22"/>
        </w:numPr>
        <w:rPr>
          <w:rFonts w:asciiTheme="majorBidi" w:hAnsiTheme="majorBidi" w:cstheme="majorBidi"/>
          <w:color w:val="000000"/>
        </w:rPr>
      </w:pPr>
      <w:r w:rsidRPr="00612DA0">
        <w:rPr>
          <w:rFonts w:asciiTheme="majorBidi" w:hAnsiTheme="majorBidi" w:cstheme="majorBidi"/>
          <w:color w:val="000000"/>
        </w:rPr>
        <w:t>Invest in energy- and cost-efficient product designs to offset inflation pressures.</w:t>
      </w:r>
    </w:p>
    <w:p w14:paraId="33A20E9C" w14:textId="77777777" w:rsidR="00612DA0" w:rsidRPr="00612DA0" w:rsidRDefault="00612DA0" w:rsidP="00612DA0">
      <w:pPr>
        <w:pStyle w:val="NormalWeb"/>
        <w:numPr>
          <w:ilvl w:val="0"/>
          <w:numId w:val="22"/>
        </w:numPr>
        <w:rPr>
          <w:rFonts w:asciiTheme="majorBidi" w:hAnsiTheme="majorBidi" w:cstheme="majorBidi"/>
          <w:color w:val="000000"/>
        </w:rPr>
      </w:pPr>
      <w:r w:rsidRPr="00612DA0">
        <w:rPr>
          <w:rFonts w:asciiTheme="majorBidi" w:hAnsiTheme="majorBidi" w:cstheme="majorBidi"/>
          <w:color w:val="000000"/>
        </w:rPr>
        <w:t>Explore markets or customer segments less impacted by current economic volatility.</w:t>
      </w:r>
    </w:p>
    <w:p w14:paraId="6B173C94" w14:textId="77777777" w:rsidR="00612DA0" w:rsidRPr="00612DA0" w:rsidRDefault="00612DA0" w:rsidP="00612DA0">
      <w:pPr>
        <w:pStyle w:val="NormalWeb"/>
        <w:numPr>
          <w:ilvl w:val="0"/>
          <w:numId w:val="22"/>
        </w:numPr>
        <w:rPr>
          <w:rFonts w:asciiTheme="majorBidi" w:hAnsiTheme="majorBidi" w:cstheme="majorBidi"/>
          <w:color w:val="000000"/>
        </w:rPr>
      </w:pPr>
      <w:r w:rsidRPr="00612DA0">
        <w:rPr>
          <w:rFonts w:asciiTheme="majorBidi" w:hAnsiTheme="majorBidi" w:cstheme="majorBidi"/>
          <w:color w:val="000000"/>
        </w:rPr>
        <w:t>Use real-time macroeconomic data to optimize launch timing, sourcing, and pricing.</w:t>
      </w:r>
    </w:p>
    <w:p w14:paraId="757BE5A9"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51EF8C87">
          <v:rect id="_x0000_i1026" alt="" style="width:468pt;height:.05pt;mso-width-percent:0;mso-height-percent:0;mso-width-percent:0;mso-height-percent:0" o:hralign="center" o:hrstd="t" o:hr="t" fillcolor="#a0a0a0" stroked="f"/>
        </w:pict>
      </w:r>
    </w:p>
    <w:p w14:paraId="2D2673D0"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color w:val="000000"/>
        </w:rPr>
        <w:lastRenderedPageBreak/>
        <w:t>Next Steps &amp; Action Items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4"/>
        <w:gridCol w:w="5138"/>
        <w:gridCol w:w="1154"/>
        <w:gridCol w:w="1144"/>
      </w:tblGrid>
      <w:tr w:rsidR="00612DA0" w:rsidRPr="00612DA0" w14:paraId="19895EFA" w14:textId="77777777">
        <w:trPr>
          <w:tblHeader/>
          <w:tblCellSpacing w:w="15" w:type="dxa"/>
        </w:trPr>
        <w:tc>
          <w:tcPr>
            <w:tcW w:w="0" w:type="auto"/>
            <w:vAlign w:val="center"/>
            <w:hideMark/>
          </w:tcPr>
          <w:p w14:paraId="3735D04C"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Owner</w:t>
            </w:r>
          </w:p>
        </w:tc>
        <w:tc>
          <w:tcPr>
            <w:tcW w:w="0" w:type="auto"/>
            <w:vAlign w:val="center"/>
            <w:hideMark/>
          </w:tcPr>
          <w:p w14:paraId="2684D65E"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Action</w:t>
            </w:r>
          </w:p>
        </w:tc>
        <w:tc>
          <w:tcPr>
            <w:tcW w:w="0" w:type="auto"/>
            <w:vAlign w:val="center"/>
            <w:hideMark/>
          </w:tcPr>
          <w:p w14:paraId="5120970F"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Due Date</w:t>
            </w:r>
          </w:p>
        </w:tc>
        <w:tc>
          <w:tcPr>
            <w:tcW w:w="0" w:type="auto"/>
            <w:vAlign w:val="center"/>
            <w:hideMark/>
          </w:tcPr>
          <w:p w14:paraId="6A4FFC27" w14:textId="77777777" w:rsidR="00612DA0" w:rsidRPr="00612DA0" w:rsidRDefault="00612DA0">
            <w:pPr>
              <w:jc w:val="center"/>
              <w:rPr>
                <w:rFonts w:asciiTheme="majorBidi" w:hAnsiTheme="majorBidi" w:cstheme="majorBidi"/>
                <w:b/>
                <w:bCs/>
              </w:rPr>
            </w:pPr>
            <w:r w:rsidRPr="00612DA0">
              <w:rPr>
                <w:rFonts w:asciiTheme="majorBidi" w:hAnsiTheme="majorBidi" w:cstheme="majorBidi"/>
                <w:b/>
                <w:bCs/>
              </w:rPr>
              <w:t>Status</w:t>
            </w:r>
          </w:p>
        </w:tc>
      </w:tr>
      <w:tr w:rsidR="00612DA0" w:rsidRPr="00612DA0" w14:paraId="6212D3C3" w14:textId="77777777">
        <w:trPr>
          <w:tblCellSpacing w:w="15" w:type="dxa"/>
        </w:trPr>
        <w:tc>
          <w:tcPr>
            <w:tcW w:w="0" w:type="auto"/>
            <w:vAlign w:val="center"/>
            <w:hideMark/>
          </w:tcPr>
          <w:p w14:paraId="460D6B7F" w14:textId="77777777" w:rsidR="00612DA0" w:rsidRPr="00612DA0" w:rsidRDefault="00612DA0">
            <w:pPr>
              <w:rPr>
                <w:rFonts w:asciiTheme="majorBidi" w:hAnsiTheme="majorBidi" w:cstheme="majorBidi"/>
              </w:rPr>
            </w:pPr>
            <w:r w:rsidRPr="00612DA0">
              <w:rPr>
                <w:rFonts w:asciiTheme="majorBidi" w:hAnsiTheme="majorBidi" w:cstheme="majorBidi"/>
              </w:rPr>
              <w:t>CIO</w:t>
            </w:r>
          </w:p>
        </w:tc>
        <w:tc>
          <w:tcPr>
            <w:tcW w:w="0" w:type="auto"/>
            <w:vAlign w:val="center"/>
            <w:hideMark/>
          </w:tcPr>
          <w:p w14:paraId="0BE1B657" w14:textId="77777777" w:rsidR="00612DA0" w:rsidRPr="00612DA0" w:rsidRDefault="00612DA0">
            <w:pPr>
              <w:rPr>
                <w:rFonts w:asciiTheme="majorBidi" w:hAnsiTheme="majorBidi" w:cstheme="majorBidi"/>
              </w:rPr>
            </w:pPr>
            <w:r w:rsidRPr="00612DA0">
              <w:rPr>
                <w:rFonts w:asciiTheme="majorBidi" w:hAnsiTheme="majorBidi" w:cstheme="majorBidi"/>
              </w:rPr>
              <w:t>Approve inflation mitigation budget reallocations</w:t>
            </w:r>
          </w:p>
        </w:tc>
        <w:tc>
          <w:tcPr>
            <w:tcW w:w="0" w:type="auto"/>
            <w:vAlign w:val="center"/>
            <w:hideMark/>
          </w:tcPr>
          <w:p w14:paraId="6D1CDADB" w14:textId="77777777" w:rsidR="00612DA0" w:rsidRPr="00612DA0" w:rsidRDefault="00612DA0">
            <w:pPr>
              <w:rPr>
                <w:rFonts w:asciiTheme="majorBidi" w:hAnsiTheme="majorBidi" w:cstheme="majorBidi"/>
              </w:rPr>
            </w:pPr>
            <w:r w:rsidRPr="00612DA0">
              <w:rPr>
                <w:rFonts w:asciiTheme="majorBidi" w:hAnsiTheme="majorBidi" w:cstheme="majorBidi"/>
              </w:rPr>
              <w:t>12/20/2025</w:t>
            </w:r>
          </w:p>
        </w:tc>
        <w:tc>
          <w:tcPr>
            <w:tcW w:w="0" w:type="auto"/>
            <w:vAlign w:val="center"/>
            <w:hideMark/>
          </w:tcPr>
          <w:p w14:paraId="0704E6B1" w14:textId="77777777" w:rsidR="00612DA0" w:rsidRPr="00612DA0" w:rsidRDefault="00612DA0">
            <w:pPr>
              <w:rPr>
                <w:rFonts w:asciiTheme="majorBidi" w:hAnsiTheme="majorBidi" w:cstheme="majorBidi"/>
              </w:rPr>
            </w:pPr>
            <w:r w:rsidRPr="00612DA0">
              <w:rPr>
                <w:rFonts w:asciiTheme="majorBidi" w:hAnsiTheme="majorBidi" w:cstheme="majorBidi"/>
              </w:rPr>
              <w:t>Pending</w:t>
            </w:r>
          </w:p>
        </w:tc>
      </w:tr>
      <w:tr w:rsidR="00612DA0" w:rsidRPr="00612DA0" w14:paraId="03A0DD58" w14:textId="77777777">
        <w:trPr>
          <w:tblCellSpacing w:w="15" w:type="dxa"/>
        </w:trPr>
        <w:tc>
          <w:tcPr>
            <w:tcW w:w="0" w:type="auto"/>
            <w:vAlign w:val="center"/>
            <w:hideMark/>
          </w:tcPr>
          <w:p w14:paraId="0752DA47" w14:textId="77777777" w:rsidR="00612DA0" w:rsidRPr="00612DA0" w:rsidRDefault="00612DA0">
            <w:pPr>
              <w:rPr>
                <w:rFonts w:asciiTheme="majorBidi" w:hAnsiTheme="majorBidi" w:cstheme="majorBidi"/>
              </w:rPr>
            </w:pPr>
            <w:r w:rsidRPr="00612DA0">
              <w:rPr>
                <w:rFonts w:asciiTheme="majorBidi" w:hAnsiTheme="majorBidi" w:cstheme="majorBidi"/>
              </w:rPr>
              <w:t>Supply Chain Lead</w:t>
            </w:r>
          </w:p>
        </w:tc>
        <w:tc>
          <w:tcPr>
            <w:tcW w:w="0" w:type="auto"/>
            <w:vAlign w:val="center"/>
            <w:hideMark/>
          </w:tcPr>
          <w:p w14:paraId="108C81A1" w14:textId="77777777" w:rsidR="00612DA0" w:rsidRPr="00612DA0" w:rsidRDefault="00612DA0">
            <w:pPr>
              <w:rPr>
                <w:rFonts w:asciiTheme="majorBidi" w:hAnsiTheme="majorBidi" w:cstheme="majorBidi"/>
              </w:rPr>
            </w:pPr>
            <w:r w:rsidRPr="00612DA0">
              <w:rPr>
                <w:rFonts w:asciiTheme="majorBidi" w:hAnsiTheme="majorBidi" w:cstheme="majorBidi"/>
              </w:rPr>
              <w:t>Identify 10 alternative suppliers for high-cost components</w:t>
            </w:r>
          </w:p>
        </w:tc>
        <w:tc>
          <w:tcPr>
            <w:tcW w:w="0" w:type="auto"/>
            <w:vAlign w:val="center"/>
            <w:hideMark/>
          </w:tcPr>
          <w:p w14:paraId="7955BAED" w14:textId="77777777" w:rsidR="00612DA0" w:rsidRPr="00612DA0" w:rsidRDefault="00612DA0">
            <w:pPr>
              <w:rPr>
                <w:rFonts w:asciiTheme="majorBidi" w:hAnsiTheme="majorBidi" w:cstheme="majorBidi"/>
              </w:rPr>
            </w:pPr>
            <w:r w:rsidRPr="00612DA0">
              <w:rPr>
                <w:rFonts w:asciiTheme="majorBidi" w:hAnsiTheme="majorBidi" w:cstheme="majorBidi"/>
              </w:rPr>
              <w:t>12/15/2025</w:t>
            </w:r>
          </w:p>
        </w:tc>
        <w:tc>
          <w:tcPr>
            <w:tcW w:w="0" w:type="auto"/>
            <w:vAlign w:val="center"/>
            <w:hideMark/>
          </w:tcPr>
          <w:p w14:paraId="68F11433" w14:textId="77777777" w:rsidR="00612DA0" w:rsidRPr="00612DA0" w:rsidRDefault="00612DA0">
            <w:pPr>
              <w:rPr>
                <w:rFonts w:asciiTheme="majorBidi" w:hAnsiTheme="majorBidi" w:cstheme="majorBidi"/>
              </w:rPr>
            </w:pPr>
            <w:r w:rsidRPr="00612DA0">
              <w:rPr>
                <w:rFonts w:asciiTheme="majorBidi" w:hAnsiTheme="majorBidi" w:cstheme="majorBidi"/>
              </w:rPr>
              <w:t>In Progress</w:t>
            </w:r>
          </w:p>
        </w:tc>
      </w:tr>
      <w:tr w:rsidR="00612DA0" w:rsidRPr="00612DA0" w14:paraId="119F045A" w14:textId="77777777">
        <w:trPr>
          <w:tblCellSpacing w:w="15" w:type="dxa"/>
        </w:trPr>
        <w:tc>
          <w:tcPr>
            <w:tcW w:w="0" w:type="auto"/>
            <w:vAlign w:val="center"/>
            <w:hideMark/>
          </w:tcPr>
          <w:p w14:paraId="4D583343" w14:textId="77777777" w:rsidR="00612DA0" w:rsidRPr="00612DA0" w:rsidRDefault="00612DA0">
            <w:pPr>
              <w:rPr>
                <w:rFonts w:asciiTheme="majorBidi" w:hAnsiTheme="majorBidi" w:cstheme="majorBidi"/>
              </w:rPr>
            </w:pPr>
            <w:r w:rsidRPr="00612DA0">
              <w:rPr>
                <w:rFonts w:asciiTheme="majorBidi" w:hAnsiTheme="majorBidi" w:cstheme="majorBidi"/>
              </w:rPr>
              <w:t>R&amp;D Director</w:t>
            </w:r>
          </w:p>
        </w:tc>
        <w:tc>
          <w:tcPr>
            <w:tcW w:w="0" w:type="auto"/>
            <w:vAlign w:val="center"/>
            <w:hideMark/>
          </w:tcPr>
          <w:p w14:paraId="4BB37751" w14:textId="77777777" w:rsidR="00612DA0" w:rsidRPr="00612DA0" w:rsidRDefault="00612DA0">
            <w:pPr>
              <w:rPr>
                <w:rFonts w:asciiTheme="majorBidi" w:hAnsiTheme="majorBidi" w:cstheme="majorBidi"/>
              </w:rPr>
            </w:pPr>
            <w:r w:rsidRPr="00612DA0">
              <w:rPr>
                <w:rFonts w:asciiTheme="majorBidi" w:hAnsiTheme="majorBidi" w:cstheme="majorBidi"/>
              </w:rPr>
              <w:t>Evaluate alternative materials or processes</w:t>
            </w:r>
          </w:p>
        </w:tc>
        <w:tc>
          <w:tcPr>
            <w:tcW w:w="0" w:type="auto"/>
            <w:vAlign w:val="center"/>
            <w:hideMark/>
          </w:tcPr>
          <w:p w14:paraId="3EF5406F" w14:textId="77777777" w:rsidR="00612DA0" w:rsidRPr="00612DA0" w:rsidRDefault="00612DA0">
            <w:pPr>
              <w:rPr>
                <w:rFonts w:asciiTheme="majorBidi" w:hAnsiTheme="majorBidi" w:cstheme="majorBidi"/>
              </w:rPr>
            </w:pPr>
            <w:r w:rsidRPr="00612DA0">
              <w:rPr>
                <w:rFonts w:asciiTheme="majorBidi" w:hAnsiTheme="majorBidi" w:cstheme="majorBidi"/>
              </w:rPr>
              <w:t>01/10/2026</w:t>
            </w:r>
          </w:p>
        </w:tc>
        <w:tc>
          <w:tcPr>
            <w:tcW w:w="0" w:type="auto"/>
            <w:vAlign w:val="center"/>
            <w:hideMark/>
          </w:tcPr>
          <w:p w14:paraId="61B5AC47" w14:textId="77777777" w:rsidR="00612DA0" w:rsidRPr="00612DA0" w:rsidRDefault="00612DA0">
            <w:pPr>
              <w:rPr>
                <w:rFonts w:asciiTheme="majorBidi" w:hAnsiTheme="majorBidi" w:cstheme="majorBidi"/>
              </w:rPr>
            </w:pPr>
            <w:r w:rsidRPr="00612DA0">
              <w:rPr>
                <w:rFonts w:asciiTheme="majorBidi" w:hAnsiTheme="majorBidi" w:cstheme="majorBidi"/>
              </w:rPr>
              <w:t>Not Started</w:t>
            </w:r>
          </w:p>
        </w:tc>
      </w:tr>
      <w:tr w:rsidR="00612DA0" w:rsidRPr="00612DA0" w14:paraId="2C17679B" w14:textId="77777777">
        <w:trPr>
          <w:tblCellSpacing w:w="15" w:type="dxa"/>
        </w:trPr>
        <w:tc>
          <w:tcPr>
            <w:tcW w:w="0" w:type="auto"/>
            <w:vAlign w:val="center"/>
            <w:hideMark/>
          </w:tcPr>
          <w:p w14:paraId="1C769B08" w14:textId="77777777" w:rsidR="00612DA0" w:rsidRPr="00612DA0" w:rsidRDefault="00612DA0">
            <w:pPr>
              <w:rPr>
                <w:rFonts w:asciiTheme="majorBidi" w:hAnsiTheme="majorBidi" w:cstheme="majorBidi"/>
              </w:rPr>
            </w:pPr>
            <w:r w:rsidRPr="00612DA0">
              <w:rPr>
                <w:rFonts w:asciiTheme="majorBidi" w:hAnsiTheme="majorBidi" w:cstheme="majorBidi"/>
              </w:rPr>
              <w:t>Marketing/Product</w:t>
            </w:r>
          </w:p>
        </w:tc>
        <w:tc>
          <w:tcPr>
            <w:tcW w:w="0" w:type="auto"/>
            <w:vAlign w:val="center"/>
            <w:hideMark/>
          </w:tcPr>
          <w:p w14:paraId="0D264D70" w14:textId="77777777" w:rsidR="00612DA0" w:rsidRPr="00612DA0" w:rsidRDefault="00612DA0">
            <w:pPr>
              <w:rPr>
                <w:rFonts w:asciiTheme="majorBidi" w:hAnsiTheme="majorBidi" w:cstheme="majorBidi"/>
              </w:rPr>
            </w:pPr>
            <w:r w:rsidRPr="00612DA0">
              <w:rPr>
                <w:rFonts w:asciiTheme="majorBidi" w:hAnsiTheme="majorBidi" w:cstheme="majorBidi"/>
              </w:rPr>
              <w:t>Adjust launch strategy based on consumer spending data</w:t>
            </w:r>
          </w:p>
        </w:tc>
        <w:tc>
          <w:tcPr>
            <w:tcW w:w="0" w:type="auto"/>
            <w:vAlign w:val="center"/>
            <w:hideMark/>
          </w:tcPr>
          <w:p w14:paraId="117578C3" w14:textId="77777777" w:rsidR="00612DA0" w:rsidRPr="00612DA0" w:rsidRDefault="00612DA0">
            <w:pPr>
              <w:rPr>
                <w:rFonts w:asciiTheme="majorBidi" w:hAnsiTheme="majorBidi" w:cstheme="majorBidi"/>
              </w:rPr>
            </w:pPr>
            <w:r w:rsidRPr="00612DA0">
              <w:rPr>
                <w:rFonts w:asciiTheme="majorBidi" w:hAnsiTheme="majorBidi" w:cstheme="majorBidi"/>
              </w:rPr>
              <w:t>12/30/2025</w:t>
            </w:r>
          </w:p>
        </w:tc>
        <w:tc>
          <w:tcPr>
            <w:tcW w:w="0" w:type="auto"/>
            <w:vAlign w:val="center"/>
            <w:hideMark/>
          </w:tcPr>
          <w:p w14:paraId="62A697B8" w14:textId="77777777" w:rsidR="00612DA0" w:rsidRPr="00612DA0" w:rsidRDefault="00612DA0">
            <w:pPr>
              <w:rPr>
                <w:rFonts w:asciiTheme="majorBidi" w:hAnsiTheme="majorBidi" w:cstheme="majorBidi"/>
              </w:rPr>
            </w:pPr>
            <w:r w:rsidRPr="00612DA0">
              <w:rPr>
                <w:rFonts w:asciiTheme="majorBidi" w:hAnsiTheme="majorBidi" w:cstheme="majorBidi"/>
              </w:rPr>
              <w:t>In Progress</w:t>
            </w:r>
          </w:p>
        </w:tc>
      </w:tr>
    </w:tbl>
    <w:p w14:paraId="18EE5F28" w14:textId="77777777" w:rsidR="00612DA0" w:rsidRPr="00612DA0" w:rsidRDefault="00263290" w:rsidP="00612DA0">
      <w:pPr>
        <w:rPr>
          <w:rFonts w:asciiTheme="majorBidi" w:hAnsiTheme="majorBidi" w:cstheme="majorBidi"/>
        </w:rPr>
      </w:pPr>
      <w:r w:rsidRPr="00263290">
        <w:rPr>
          <w:rFonts w:asciiTheme="majorBidi" w:hAnsiTheme="majorBidi" w:cstheme="majorBidi"/>
          <w:noProof/>
        </w:rPr>
        <w:pict w14:anchorId="0F383555">
          <v:rect id="_x0000_i1025" alt="" style="width:468pt;height:.05pt;mso-width-percent:0;mso-height-percent:0;mso-width-percent:0;mso-height-percent:0" o:hralign="center" o:hrstd="t" o:hr="t" fillcolor="#a0a0a0" stroked="f"/>
        </w:pict>
      </w:r>
    </w:p>
    <w:p w14:paraId="0BC53DB4" w14:textId="77777777" w:rsidR="00612DA0" w:rsidRPr="00612DA0" w:rsidRDefault="00612DA0" w:rsidP="00612DA0">
      <w:pPr>
        <w:pStyle w:val="Heading2"/>
        <w:rPr>
          <w:rFonts w:asciiTheme="majorBidi" w:hAnsiTheme="majorBidi"/>
          <w:color w:val="000000"/>
        </w:rPr>
      </w:pPr>
      <w:r w:rsidRPr="00612DA0">
        <w:rPr>
          <w:rStyle w:val="Strong"/>
          <w:rFonts w:asciiTheme="majorBidi" w:hAnsiTheme="majorBidi"/>
          <w:b w:val="0"/>
          <w:bCs w:val="0"/>
          <w:color w:val="000000"/>
        </w:rPr>
        <w:t>Risk &amp; Escalation Summary</w:t>
      </w:r>
    </w:p>
    <w:p w14:paraId="28DCD066" w14:textId="77777777" w:rsidR="00612DA0" w:rsidRPr="00612DA0" w:rsidRDefault="00612DA0" w:rsidP="00612DA0">
      <w:pPr>
        <w:pStyle w:val="NormalWeb"/>
        <w:numPr>
          <w:ilvl w:val="0"/>
          <w:numId w:val="23"/>
        </w:numPr>
        <w:rPr>
          <w:rFonts w:asciiTheme="majorBidi" w:hAnsiTheme="majorBidi" w:cstheme="majorBidi"/>
          <w:color w:val="000000"/>
        </w:rPr>
      </w:pPr>
      <w:r w:rsidRPr="00612DA0">
        <w:rPr>
          <w:rStyle w:val="Strong"/>
          <w:rFonts w:asciiTheme="majorBidi" w:eastAsiaTheme="majorEastAsia" w:hAnsiTheme="majorBidi" w:cstheme="majorBidi"/>
          <w:color w:val="000000"/>
        </w:rPr>
        <w:t>High-risk programs</w:t>
      </w:r>
      <w:r w:rsidRPr="00612DA0">
        <w:rPr>
          <w:rFonts w:asciiTheme="majorBidi" w:hAnsiTheme="majorBidi" w:cstheme="majorBidi"/>
          <w:color w:val="000000"/>
        </w:rPr>
        <w:t>: [List 2–3]</w:t>
      </w:r>
    </w:p>
    <w:p w14:paraId="3A33A0C3" w14:textId="77777777" w:rsidR="00612DA0" w:rsidRPr="00612DA0" w:rsidRDefault="00612DA0" w:rsidP="00612DA0">
      <w:pPr>
        <w:pStyle w:val="NormalWeb"/>
        <w:numPr>
          <w:ilvl w:val="0"/>
          <w:numId w:val="23"/>
        </w:numPr>
        <w:rPr>
          <w:rFonts w:asciiTheme="majorBidi" w:hAnsiTheme="majorBidi" w:cstheme="majorBidi"/>
          <w:color w:val="000000"/>
        </w:rPr>
      </w:pPr>
      <w:r w:rsidRPr="00612DA0">
        <w:rPr>
          <w:rStyle w:val="Strong"/>
          <w:rFonts w:asciiTheme="majorBidi" w:eastAsiaTheme="majorEastAsia" w:hAnsiTheme="majorBidi" w:cstheme="majorBidi"/>
          <w:color w:val="000000"/>
        </w:rPr>
        <w:t>Potential delays or cost overruns next quarter</w:t>
      </w:r>
      <w:r w:rsidRPr="00612DA0">
        <w:rPr>
          <w:rFonts w:asciiTheme="majorBidi" w:hAnsiTheme="majorBidi" w:cstheme="majorBidi"/>
          <w:color w:val="000000"/>
        </w:rPr>
        <w:t>: [List weeks/% cost impact]</w:t>
      </w:r>
    </w:p>
    <w:p w14:paraId="69AB2C28" w14:textId="77777777" w:rsidR="00612DA0" w:rsidRPr="00612DA0" w:rsidRDefault="00612DA0" w:rsidP="00612DA0">
      <w:pPr>
        <w:pStyle w:val="NormalWeb"/>
        <w:numPr>
          <w:ilvl w:val="0"/>
          <w:numId w:val="23"/>
        </w:numPr>
        <w:rPr>
          <w:rFonts w:asciiTheme="majorBidi" w:hAnsiTheme="majorBidi" w:cstheme="majorBidi"/>
          <w:color w:val="000000"/>
        </w:rPr>
      </w:pPr>
      <w:r w:rsidRPr="00612DA0">
        <w:rPr>
          <w:rStyle w:val="Strong"/>
          <w:rFonts w:asciiTheme="majorBidi" w:eastAsiaTheme="majorEastAsia" w:hAnsiTheme="majorBidi" w:cstheme="majorBidi"/>
          <w:color w:val="000000"/>
        </w:rPr>
        <w:t>Escalation to Executive Committee</w:t>
      </w:r>
      <w:r w:rsidRPr="00612DA0">
        <w:rPr>
          <w:rFonts w:asciiTheme="majorBidi" w:hAnsiTheme="majorBidi" w:cstheme="majorBidi"/>
          <w:color w:val="000000"/>
        </w:rPr>
        <w:t>: Yes / No</w:t>
      </w:r>
    </w:p>
    <w:p w14:paraId="5B4D2CDE" w14:textId="77777777" w:rsidR="00A3273C" w:rsidRPr="00612DA0" w:rsidRDefault="00A3273C" w:rsidP="00612DA0">
      <w:pPr>
        <w:pStyle w:val="Heading2"/>
        <w:rPr>
          <w:rFonts w:asciiTheme="majorBidi" w:eastAsia="Times New Roman" w:hAnsiTheme="majorBidi"/>
          <w:color w:val="000000"/>
          <w:kern w:val="0"/>
          <w14:ligatures w14:val="none"/>
        </w:rPr>
      </w:pPr>
    </w:p>
    <w:sectPr w:rsidR="00A3273C" w:rsidRPr="00612DA0" w:rsidSect="00BB54D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1B270" w14:textId="77777777" w:rsidR="00263290" w:rsidRDefault="00263290" w:rsidP="00B07844">
      <w:pPr>
        <w:spacing w:after="0" w:line="240" w:lineRule="auto"/>
      </w:pPr>
      <w:r>
        <w:separator/>
      </w:r>
    </w:p>
  </w:endnote>
  <w:endnote w:type="continuationSeparator" w:id="0">
    <w:p w14:paraId="2CBCE5B4" w14:textId="77777777" w:rsidR="00263290" w:rsidRDefault="00263290" w:rsidP="00B07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18190" w14:textId="7CE0ECB0" w:rsidR="00B07844" w:rsidRPr="00B07844" w:rsidRDefault="00B07844" w:rsidP="00B07844">
    <w:pPr>
      <w:pStyle w:val="Footer"/>
      <w:jc w:val="center"/>
      <w:rPr>
        <w:rFonts w:asciiTheme="minorBidi" w:hAnsiTheme="minorBidi"/>
        <w:sz w:val="14"/>
        <w:szCs w:val="14"/>
      </w:rPr>
    </w:pPr>
    <w:r w:rsidRPr="00B07844">
      <w:rPr>
        <w:rFonts w:asciiTheme="minorBidi" w:hAnsiTheme="minorBidi"/>
        <w:sz w:val="14"/>
        <w:szCs w:val="14"/>
      </w:rPr>
      <w:t>Copyright InnoLead 2025. InnoLead members have right to adapt and utilize internally. Do not post or distribute externally.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D7D8F" w14:textId="77777777" w:rsidR="00263290" w:rsidRDefault="00263290" w:rsidP="00B07844">
      <w:pPr>
        <w:spacing w:after="0" w:line="240" w:lineRule="auto"/>
      </w:pPr>
      <w:r>
        <w:separator/>
      </w:r>
    </w:p>
  </w:footnote>
  <w:footnote w:type="continuationSeparator" w:id="0">
    <w:p w14:paraId="6363D892" w14:textId="77777777" w:rsidR="00263290" w:rsidRDefault="00263290" w:rsidP="00B078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13EC8"/>
    <w:multiLevelType w:val="multilevel"/>
    <w:tmpl w:val="A2C27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E037F9"/>
    <w:multiLevelType w:val="multilevel"/>
    <w:tmpl w:val="18804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863D96"/>
    <w:multiLevelType w:val="multilevel"/>
    <w:tmpl w:val="D57E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80143"/>
    <w:multiLevelType w:val="multilevel"/>
    <w:tmpl w:val="40904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C3D97"/>
    <w:multiLevelType w:val="multilevel"/>
    <w:tmpl w:val="F4C26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E2584"/>
    <w:multiLevelType w:val="multilevel"/>
    <w:tmpl w:val="F2AC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A11849"/>
    <w:multiLevelType w:val="multilevel"/>
    <w:tmpl w:val="967EF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2B551B"/>
    <w:multiLevelType w:val="multilevel"/>
    <w:tmpl w:val="75640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28376E"/>
    <w:multiLevelType w:val="multilevel"/>
    <w:tmpl w:val="8A0A0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2F1FAC"/>
    <w:multiLevelType w:val="multilevel"/>
    <w:tmpl w:val="A736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443B37"/>
    <w:multiLevelType w:val="multilevel"/>
    <w:tmpl w:val="EAAC8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9B6A0E"/>
    <w:multiLevelType w:val="multilevel"/>
    <w:tmpl w:val="C61CC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362A8C"/>
    <w:multiLevelType w:val="multilevel"/>
    <w:tmpl w:val="F29AA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5A5773"/>
    <w:multiLevelType w:val="multilevel"/>
    <w:tmpl w:val="3B300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711A72"/>
    <w:multiLevelType w:val="multilevel"/>
    <w:tmpl w:val="7AB85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196B9B"/>
    <w:multiLevelType w:val="multilevel"/>
    <w:tmpl w:val="B062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F464ECA"/>
    <w:multiLevelType w:val="multilevel"/>
    <w:tmpl w:val="BEA09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BE4C49"/>
    <w:multiLevelType w:val="multilevel"/>
    <w:tmpl w:val="A0C66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660FAA"/>
    <w:multiLevelType w:val="multilevel"/>
    <w:tmpl w:val="5F303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4B128E"/>
    <w:multiLevelType w:val="multilevel"/>
    <w:tmpl w:val="1BFCE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970241"/>
    <w:multiLevelType w:val="multilevel"/>
    <w:tmpl w:val="5F40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604804"/>
    <w:multiLevelType w:val="multilevel"/>
    <w:tmpl w:val="F4223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885205"/>
    <w:multiLevelType w:val="multilevel"/>
    <w:tmpl w:val="853CE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91352839">
    <w:abstractNumId w:val="22"/>
  </w:num>
  <w:num w:numId="2" w16cid:durableId="358554705">
    <w:abstractNumId w:val="8"/>
  </w:num>
  <w:num w:numId="3" w16cid:durableId="277955053">
    <w:abstractNumId w:val="14"/>
  </w:num>
  <w:num w:numId="4" w16cid:durableId="1834293484">
    <w:abstractNumId w:val="5"/>
  </w:num>
  <w:num w:numId="5" w16cid:durableId="1201437326">
    <w:abstractNumId w:val="11"/>
  </w:num>
  <w:num w:numId="6" w16cid:durableId="1417753312">
    <w:abstractNumId w:val="16"/>
  </w:num>
  <w:num w:numId="7" w16cid:durableId="467477542">
    <w:abstractNumId w:val="19"/>
  </w:num>
  <w:num w:numId="8" w16cid:durableId="355811513">
    <w:abstractNumId w:val="20"/>
  </w:num>
  <w:num w:numId="9" w16cid:durableId="1146816815">
    <w:abstractNumId w:val="21"/>
  </w:num>
  <w:num w:numId="10" w16cid:durableId="1063024873">
    <w:abstractNumId w:val="18"/>
  </w:num>
  <w:num w:numId="11" w16cid:durableId="1295870909">
    <w:abstractNumId w:val="10"/>
  </w:num>
  <w:num w:numId="12" w16cid:durableId="454980432">
    <w:abstractNumId w:val="1"/>
  </w:num>
  <w:num w:numId="13" w16cid:durableId="152334193">
    <w:abstractNumId w:val="4"/>
  </w:num>
  <w:num w:numId="14" w16cid:durableId="198317982">
    <w:abstractNumId w:val="15"/>
  </w:num>
  <w:num w:numId="15" w16cid:durableId="129708558">
    <w:abstractNumId w:val="9"/>
  </w:num>
  <w:num w:numId="16" w16cid:durableId="26100990">
    <w:abstractNumId w:val="3"/>
  </w:num>
  <w:num w:numId="17" w16cid:durableId="440492651">
    <w:abstractNumId w:val="12"/>
  </w:num>
  <w:num w:numId="18" w16cid:durableId="1048458190">
    <w:abstractNumId w:val="13"/>
  </w:num>
  <w:num w:numId="19" w16cid:durableId="135614556">
    <w:abstractNumId w:val="7"/>
  </w:num>
  <w:num w:numId="20" w16cid:durableId="2120027360">
    <w:abstractNumId w:val="2"/>
  </w:num>
  <w:num w:numId="21" w16cid:durableId="977420811">
    <w:abstractNumId w:val="0"/>
  </w:num>
  <w:num w:numId="22" w16cid:durableId="1967852088">
    <w:abstractNumId w:val="17"/>
  </w:num>
  <w:num w:numId="23" w16cid:durableId="454250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E70"/>
    <w:rsid w:val="001A632A"/>
    <w:rsid w:val="00254F67"/>
    <w:rsid w:val="00263290"/>
    <w:rsid w:val="00487290"/>
    <w:rsid w:val="005C31D3"/>
    <w:rsid w:val="00612DA0"/>
    <w:rsid w:val="00621C15"/>
    <w:rsid w:val="00904308"/>
    <w:rsid w:val="00963B52"/>
    <w:rsid w:val="009C6B9E"/>
    <w:rsid w:val="009D4515"/>
    <w:rsid w:val="00A3273C"/>
    <w:rsid w:val="00AC1E70"/>
    <w:rsid w:val="00B07844"/>
    <w:rsid w:val="00B114F7"/>
    <w:rsid w:val="00B84A62"/>
    <w:rsid w:val="00BB54D5"/>
    <w:rsid w:val="00C62F0E"/>
    <w:rsid w:val="00C74326"/>
    <w:rsid w:val="00C90FEC"/>
    <w:rsid w:val="00CA35AE"/>
    <w:rsid w:val="00F845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F6307D"/>
  <w15:chartTrackingRefBased/>
  <w15:docId w15:val="{F8FFB3A9-8DC1-DF4E-B6B0-DD843ACAC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1E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1E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C1E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1E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1E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1E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1E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1E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1E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1E7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1E7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C1E7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1E7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1E7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1E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1E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1E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1E70"/>
    <w:rPr>
      <w:rFonts w:eastAsiaTheme="majorEastAsia" w:cstheme="majorBidi"/>
      <w:color w:val="272727" w:themeColor="text1" w:themeTint="D8"/>
    </w:rPr>
  </w:style>
  <w:style w:type="paragraph" w:styleId="Title">
    <w:name w:val="Title"/>
    <w:basedOn w:val="Normal"/>
    <w:next w:val="Normal"/>
    <w:link w:val="TitleChar"/>
    <w:uiPriority w:val="10"/>
    <w:qFormat/>
    <w:rsid w:val="00AC1E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1E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1E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1E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1E70"/>
    <w:pPr>
      <w:spacing w:before="160"/>
      <w:jc w:val="center"/>
    </w:pPr>
    <w:rPr>
      <w:i/>
      <w:iCs/>
      <w:color w:val="404040" w:themeColor="text1" w:themeTint="BF"/>
    </w:rPr>
  </w:style>
  <w:style w:type="character" w:customStyle="1" w:styleId="QuoteChar">
    <w:name w:val="Quote Char"/>
    <w:basedOn w:val="DefaultParagraphFont"/>
    <w:link w:val="Quote"/>
    <w:uiPriority w:val="29"/>
    <w:rsid w:val="00AC1E70"/>
    <w:rPr>
      <w:i/>
      <w:iCs/>
      <w:color w:val="404040" w:themeColor="text1" w:themeTint="BF"/>
    </w:rPr>
  </w:style>
  <w:style w:type="paragraph" w:styleId="ListParagraph">
    <w:name w:val="List Paragraph"/>
    <w:basedOn w:val="Normal"/>
    <w:uiPriority w:val="34"/>
    <w:qFormat/>
    <w:rsid w:val="00AC1E70"/>
    <w:pPr>
      <w:ind w:left="720"/>
      <w:contextualSpacing/>
    </w:pPr>
  </w:style>
  <w:style w:type="character" w:styleId="IntenseEmphasis">
    <w:name w:val="Intense Emphasis"/>
    <w:basedOn w:val="DefaultParagraphFont"/>
    <w:uiPriority w:val="21"/>
    <w:qFormat/>
    <w:rsid w:val="00AC1E70"/>
    <w:rPr>
      <w:i/>
      <w:iCs/>
      <w:color w:val="0F4761" w:themeColor="accent1" w:themeShade="BF"/>
    </w:rPr>
  </w:style>
  <w:style w:type="paragraph" w:styleId="IntenseQuote">
    <w:name w:val="Intense Quote"/>
    <w:basedOn w:val="Normal"/>
    <w:next w:val="Normal"/>
    <w:link w:val="IntenseQuoteChar"/>
    <w:uiPriority w:val="30"/>
    <w:qFormat/>
    <w:rsid w:val="00AC1E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1E70"/>
    <w:rPr>
      <w:i/>
      <w:iCs/>
      <w:color w:val="0F4761" w:themeColor="accent1" w:themeShade="BF"/>
    </w:rPr>
  </w:style>
  <w:style w:type="character" w:styleId="IntenseReference">
    <w:name w:val="Intense Reference"/>
    <w:basedOn w:val="DefaultParagraphFont"/>
    <w:uiPriority w:val="32"/>
    <w:qFormat/>
    <w:rsid w:val="00AC1E70"/>
    <w:rPr>
      <w:b/>
      <w:bCs/>
      <w:smallCaps/>
      <w:color w:val="0F4761" w:themeColor="accent1" w:themeShade="BF"/>
      <w:spacing w:val="5"/>
    </w:rPr>
  </w:style>
  <w:style w:type="character" w:styleId="Strong">
    <w:name w:val="Strong"/>
    <w:basedOn w:val="DefaultParagraphFont"/>
    <w:uiPriority w:val="22"/>
    <w:qFormat/>
    <w:rsid w:val="00AC1E70"/>
    <w:rPr>
      <w:b/>
      <w:bCs/>
    </w:rPr>
  </w:style>
  <w:style w:type="paragraph" w:styleId="NormalWeb">
    <w:name w:val="Normal (Web)"/>
    <w:basedOn w:val="Normal"/>
    <w:uiPriority w:val="99"/>
    <w:semiHidden/>
    <w:unhideWhenUsed/>
    <w:rsid w:val="00AC1E70"/>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78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7844"/>
  </w:style>
  <w:style w:type="paragraph" w:styleId="Footer">
    <w:name w:val="footer"/>
    <w:basedOn w:val="Normal"/>
    <w:link w:val="FooterChar"/>
    <w:uiPriority w:val="99"/>
    <w:unhideWhenUsed/>
    <w:rsid w:val="00B078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7844"/>
  </w:style>
  <w:style w:type="character" w:customStyle="1" w:styleId="apple-converted-space">
    <w:name w:val="apple-converted-space"/>
    <w:basedOn w:val="DefaultParagraphFont"/>
    <w:rsid w:val="00C90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701</Words>
  <Characters>3998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Cohen</dc:creator>
  <cp:keywords/>
  <dc:description/>
  <cp:lastModifiedBy>Scott Cohen</cp:lastModifiedBy>
  <cp:revision>3</cp:revision>
  <cp:lastPrinted>2025-12-02T14:06:00Z</cp:lastPrinted>
  <dcterms:created xsi:type="dcterms:W3CDTF">2025-12-02T14:08:00Z</dcterms:created>
  <dcterms:modified xsi:type="dcterms:W3CDTF">2025-12-02T14:10:00Z</dcterms:modified>
</cp:coreProperties>
</file>