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A95EC" w14:textId="77777777" w:rsidR="00B07844" w:rsidRDefault="00B07844" w:rsidP="00B07844">
      <w:pPr>
        <w:spacing w:before="100" w:beforeAutospacing="1" w:after="100" w:afterAutospacing="1" w:line="240" w:lineRule="auto"/>
        <w:jc w:val="center"/>
        <w:outlineLvl w:val="0"/>
      </w:pPr>
      <w:r>
        <w:fldChar w:fldCharType="begin"/>
      </w:r>
      <w:r>
        <w:instrText xml:space="preserve"> INCLUDEPICTURE "/Users/scottcohen/Library/Group Containers/UBF8T346G9.ms/WebArchiveCopyPasteTempFiles/com.microsoft.Word/innolead_logo_horiztonal_color_392785.png"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4EC3862" wp14:editId="307D937F">
            <wp:extent cx="1289099" cy="355002"/>
            <wp:effectExtent l="0" t="0" r="0" b="0"/>
            <wp:docPr id="653960626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087" cy="36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BD92D29" w14:textId="43272943" w:rsidR="00AC1E70" w:rsidRPr="00AC1E70" w:rsidRDefault="00C90FEC" w:rsidP="00B078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Innovation Progress: Supply Chain Risks</w:t>
      </w:r>
    </w:p>
    <w:p w14:paraId="4E314046" w14:textId="2DC7E222" w:rsidR="00B07844" w:rsidRPr="00B07844" w:rsidRDefault="00254F67" w:rsidP="00B07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54F6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Innovation Progress Report template is designed for Chief Innovation Officers to track and manage innovation programs, R&amp;D, digital initiatives, and emerging technology projects specifically in the context of supply-chain fragility. It provides a clear, two-page view of project status, risk exposure, and mitigation actions, enabling proactive decision-making. By linking innovation efforts directly to supply-chain realities, CIOs can prioritize resources, reduce delays, and ensure that high-value initiatives remain on track despite global disruptions.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Sample data has been provided, which can be removed and replaced with your own data.</w:t>
      </w:r>
    </w:p>
    <w:p w14:paraId="116EEDEE" w14:textId="16561805" w:rsidR="00C90FEC" w:rsidRPr="00C90FEC" w:rsidRDefault="00AC1E70" w:rsidP="00C90FEC">
      <w:pPr>
        <w:pStyle w:val="Heading1"/>
        <w:rPr>
          <w:color w:val="000000"/>
          <w:sz w:val="24"/>
          <w:szCs w:val="24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For: </w:t>
      </w:r>
      <w:r w:rsidRPr="00C90F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[Company Name]</w:t>
      </w:r>
      <w:r w:rsidRPr="00C90F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Date: </w:t>
      </w:r>
      <w:r w:rsidRPr="00C90F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[Quarter/Year]</w:t>
      </w:r>
      <w:r w:rsidR="00C90FEC" w:rsidRPr="00C90FEC">
        <w:rPr>
          <w:rStyle w:val="Strong"/>
          <w:color w:val="000000"/>
          <w:sz w:val="24"/>
          <w:szCs w:val="24"/>
        </w:rPr>
        <w:t xml:space="preserve"> </w:t>
      </w:r>
      <w:r w:rsidR="00C90FEC">
        <w:rPr>
          <w:rStyle w:val="Strong"/>
          <w:b w:val="0"/>
          <w:bCs w:val="0"/>
          <w:color w:val="000000"/>
          <w:sz w:val="24"/>
          <w:szCs w:val="24"/>
        </w:rPr>
        <w:br/>
      </w:r>
      <w:r w:rsidR="00C90FEC" w:rsidRPr="00C90FE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14:ligatures w14:val="none"/>
        </w:rPr>
        <w:t xml:space="preserve">Innovation Progress Report: </w:t>
      </w:r>
      <w:r w:rsidR="00C90FEC" w:rsidRPr="00C90FE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14:ligatures w14:val="none"/>
        </w:rPr>
        <w:t>Supply Chain Focus</w:t>
      </w:r>
    </w:p>
    <w:p w14:paraId="1561BBAB" w14:textId="77777777" w:rsidR="00C90FEC" w:rsidRPr="00C90FEC" w:rsidRDefault="009D71B3" w:rsidP="00C90F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1B3">
        <w:rPr>
          <w:rFonts w:ascii="Times New Roman" w:eastAsia="Times New Roman" w:hAnsi="Times New Roman" w:cs="Times New Roman"/>
          <w:noProof/>
          <w:kern w:val="0"/>
        </w:rPr>
        <w:pict w14:anchorId="1891232F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616946CB" w14:textId="3B8C4281" w:rsidR="00C90FEC" w:rsidRPr="00C90FEC" w:rsidRDefault="00C90FEC" w:rsidP="00C90F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Executive Summary &amp; Key Metrics</w:t>
      </w:r>
    </w:p>
    <w:p w14:paraId="1ECDB204" w14:textId="77777777" w:rsidR="00C90FEC" w:rsidRPr="00C90FEC" w:rsidRDefault="00C90FEC" w:rsidP="00C90F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1. Executive Summary</w:t>
      </w:r>
    </w:p>
    <w:p w14:paraId="5432F5E1" w14:textId="77777777" w:rsidR="00C90FEC" w:rsidRPr="00C90FEC" w:rsidRDefault="00C90FEC" w:rsidP="00C90F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Brief overview of innovation programs impacted by supply-chain fragility.</w:t>
      </w:r>
    </w:p>
    <w:p w14:paraId="420F9BF2" w14:textId="77777777" w:rsidR="00C90FEC" w:rsidRPr="00C90FEC" w:rsidRDefault="00C90FEC" w:rsidP="00C90F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Key risks identified in the reporting period.</w:t>
      </w:r>
    </w:p>
    <w:p w14:paraId="6BDE5945" w14:textId="77777777" w:rsidR="00C90FEC" w:rsidRPr="00C90FEC" w:rsidRDefault="00C90FEC" w:rsidP="00C90F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Highlights of mitigations, pivots, or alternative sourcing strategies.</w:t>
      </w:r>
    </w:p>
    <w:p w14:paraId="4C139B69" w14:textId="77777777" w:rsidR="00C90FEC" w:rsidRPr="00C90FEC" w:rsidRDefault="00C90FEC" w:rsidP="00C90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Example:</w:t>
      </w:r>
    </w:p>
    <w:p w14:paraId="273DE1D7" w14:textId="77777777" w:rsidR="00C90FEC" w:rsidRPr="00C90FEC" w:rsidRDefault="00C90FEC" w:rsidP="00C90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“This quarter, supply constraints on semiconductor components delayed Product X development by 6 weeks. Alternative supplier sourcing and modular design adjustments mitigated downstream impacts. Overall, 72% of ongoing projects remain on track, though cost pressures are increasing.”</w:t>
      </w:r>
    </w:p>
    <w:p w14:paraId="0C0DAEA7" w14:textId="77777777" w:rsidR="00C90FEC" w:rsidRPr="00C90FEC" w:rsidRDefault="009D71B3" w:rsidP="00C90F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1B3">
        <w:rPr>
          <w:rFonts w:ascii="Times New Roman" w:eastAsia="Times New Roman" w:hAnsi="Times New Roman" w:cs="Times New Roman"/>
          <w:noProof/>
          <w:kern w:val="0"/>
        </w:rPr>
        <w:pict w14:anchorId="76961487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03F20354" w14:textId="77777777" w:rsidR="00C90FEC" w:rsidRPr="00C90FEC" w:rsidRDefault="00C90FEC" w:rsidP="00C90F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2. Innovation Portfolio Overview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5"/>
        <w:gridCol w:w="1427"/>
        <w:gridCol w:w="1942"/>
        <w:gridCol w:w="1413"/>
        <w:gridCol w:w="1899"/>
        <w:gridCol w:w="1214"/>
      </w:tblGrid>
      <w:tr w:rsidR="00C90FEC" w:rsidRPr="00C90FEC" w14:paraId="6BB20F1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766C01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Program / Initiative</w:t>
            </w:r>
          </w:p>
        </w:tc>
        <w:tc>
          <w:tcPr>
            <w:tcW w:w="0" w:type="auto"/>
            <w:vAlign w:val="center"/>
            <w:hideMark/>
          </w:tcPr>
          <w:p w14:paraId="381A4EEF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Stage (Idea → Pilot → Scale)</w:t>
            </w:r>
          </w:p>
        </w:tc>
        <w:tc>
          <w:tcPr>
            <w:tcW w:w="0" w:type="auto"/>
            <w:vAlign w:val="center"/>
            <w:hideMark/>
          </w:tcPr>
          <w:p w14:paraId="6453084E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Supply Chain Exposure (High / Medium / Low)</w:t>
            </w:r>
          </w:p>
        </w:tc>
        <w:tc>
          <w:tcPr>
            <w:tcW w:w="0" w:type="auto"/>
            <w:vAlign w:val="center"/>
            <w:hideMark/>
          </w:tcPr>
          <w:p w14:paraId="60727E3D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Impact of Disruption</w:t>
            </w:r>
          </w:p>
        </w:tc>
        <w:tc>
          <w:tcPr>
            <w:tcW w:w="0" w:type="auto"/>
            <w:vAlign w:val="center"/>
            <w:hideMark/>
          </w:tcPr>
          <w:p w14:paraId="2361C533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Mitigation Actions</w:t>
            </w:r>
          </w:p>
        </w:tc>
        <w:tc>
          <w:tcPr>
            <w:tcW w:w="0" w:type="auto"/>
            <w:vAlign w:val="center"/>
            <w:hideMark/>
          </w:tcPr>
          <w:p w14:paraId="78D70399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Next Review</w:t>
            </w:r>
          </w:p>
        </w:tc>
      </w:tr>
      <w:tr w:rsidR="00C90FEC" w:rsidRPr="00C90FEC" w14:paraId="6E72D3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B12EC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Product X (Hardware)</w:t>
            </w:r>
          </w:p>
        </w:tc>
        <w:tc>
          <w:tcPr>
            <w:tcW w:w="0" w:type="auto"/>
            <w:vAlign w:val="center"/>
            <w:hideMark/>
          </w:tcPr>
          <w:p w14:paraId="4311A88C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Pilot</w:t>
            </w:r>
          </w:p>
        </w:tc>
        <w:tc>
          <w:tcPr>
            <w:tcW w:w="0" w:type="auto"/>
            <w:vAlign w:val="center"/>
            <w:hideMark/>
          </w:tcPr>
          <w:p w14:paraId="177BE146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067DE8D0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Delayed production</w:t>
            </w:r>
          </w:p>
        </w:tc>
        <w:tc>
          <w:tcPr>
            <w:tcW w:w="0" w:type="auto"/>
            <w:vAlign w:val="center"/>
            <w:hideMark/>
          </w:tcPr>
          <w:p w14:paraId="275937C0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Alternative supplier sourced; modular design</w:t>
            </w:r>
          </w:p>
        </w:tc>
        <w:tc>
          <w:tcPr>
            <w:tcW w:w="0" w:type="auto"/>
            <w:vAlign w:val="center"/>
            <w:hideMark/>
          </w:tcPr>
          <w:p w14:paraId="24BC7F78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12/15/2025</w:t>
            </w:r>
          </w:p>
        </w:tc>
      </w:tr>
      <w:tr w:rsidR="00C90FEC" w:rsidRPr="00C90FEC" w14:paraId="079FB5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2AC03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AI-Enabled Platform</w:t>
            </w:r>
          </w:p>
        </w:tc>
        <w:tc>
          <w:tcPr>
            <w:tcW w:w="0" w:type="auto"/>
            <w:vAlign w:val="center"/>
            <w:hideMark/>
          </w:tcPr>
          <w:p w14:paraId="3B2DCF39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Scale</w:t>
            </w:r>
          </w:p>
        </w:tc>
        <w:tc>
          <w:tcPr>
            <w:tcW w:w="0" w:type="auto"/>
            <w:vAlign w:val="center"/>
            <w:hideMark/>
          </w:tcPr>
          <w:p w14:paraId="67739944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14:paraId="58CBC48E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Minimal</w:t>
            </w:r>
          </w:p>
        </w:tc>
        <w:tc>
          <w:tcPr>
            <w:tcW w:w="0" w:type="auto"/>
            <w:vAlign w:val="center"/>
            <w:hideMark/>
          </w:tcPr>
          <w:p w14:paraId="1C406949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6E13C5FF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12/15/2025</w:t>
            </w:r>
          </w:p>
        </w:tc>
      </w:tr>
      <w:tr w:rsidR="00C90FEC" w:rsidRPr="00C90FEC" w14:paraId="4D366C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21477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Advanced Battery R&amp;D</w:t>
            </w:r>
          </w:p>
        </w:tc>
        <w:tc>
          <w:tcPr>
            <w:tcW w:w="0" w:type="auto"/>
            <w:vAlign w:val="center"/>
            <w:hideMark/>
          </w:tcPr>
          <w:p w14:paraId="0BD7D879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Research</w:t>
            </w:r>
          </w:p>
        </w:tc>
        <w:tc>
          <w:tcPr>
            <w:tcW w:w="0" w:type="auto"/>
            <w:vAlign w:val="center"/>
            <w:hideMark/>
          </w:tcPr>
          <w:p w14:paraId="7298591E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599FD8D2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Raw material scarcity</w:t>
            </w:r>
          </w:p>
        </w:tc>
        <w:tc>
          <w:tcPr>
            <w:tcW w:w="0" w:type="auto"/>
            <w:vAlign w:val="center"/>
            <w:hideMark/>
          </w:tcPr>
          <w:p w14:paraId="644DD2F8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Identify local sources; adjust material specs</w:t>
            </w:r>
          </w:p>
        </w:tc>
        <w:tc>
          <w:tcPr>
            <w:tcW w:w="0" w:type="auto"/>
            <w:vAlign w:val="center"/>
            <w:hideMark/>
          </w:tcPr>
          <w:p w14:paraId="18A35667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01/10/2026</w:t>
            </w:r>
          </w:p>
        </w:tc>
      </w:tr>
    </w:tbl>
    <w:p w14:paraId="3BFBEE2C" w14:textId="77777777" w:rsidR="00C90FEC" w:rsidRPr="00C90FEC" w:rsidRDefault="00C90FEC" w:rsidP="00C90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Metrics to Track:</w:t>
      </w:r>
    </w:p>
    <w:p w14:paraId="4AECE02E" w14:textId="77777777" w:rsidR="00C90FEC" w:rsidRPr="00C90FEC" w:rsidRDefault="00C90FEC" w:rsidP="00C90F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% of projects delayed due to supply-chain issues</w:t>
      </w:r>
    </w:p>
    <w:p w14:paraId="7C612883" w14:textId="77777777" w:rsidR="00C90FEC" w:rsidRPr="00C90FEC" w:rsidRDefault="00C90FEC" w:rsidP="00C90F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% of budget reallocated for supply resilience</w:t>
      </w:r>
    </w:p>
    <w:p w14:paraId="365C27B2" w14:textId="77777777" w:rsidR="00C90FEC" w:rsidRPr="00C90FEC" w:rsidRDefault="00C90FEC" w:rsidP="00C90F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% of vendors with alternative sourcing or dual-sourcing plans</w:t>
      </w:r>
    </w:p>
    <w:p w14:paraId="086BA61E" w14:textId="77777777" w:rsidR="00C90FEC" w:rsidRPr="00C90FEC" w:rsidRDefault="009D71B3" w:rsidP="00C90F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1B3">
        <w:rPr>
          <w:rFonts w:ascii="Times New Roman" w:eastAsia="Times New Roman" w:hAnsi="Times New Roman" w:cs="Times New Roman"/>
          <w:noProof/>
          <w:kern w:val="0"/>
        </w:rPr>
        <w:pict w14:anchorId="17AB51EC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4D08732" w14:textId="77777777" w:rsidR="00C90FEC" w:rsidRPr="00C90FEC" w:rsidRDefault="00C90FEC" w:rsidP="00C90F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3. Key Supply Chain Risk Indicators</w:t>
      </w:r>
    </w:p>
    <w:p w14:paraId="6EDF48C7" w14:textId="77777777" w:rsidR="00C90FEC" w:rsidRPr="00C90FEC" w:rsidRDefault="00C90FEC" w:rsidP="00C90F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Component lead times vs. baseline</w:t>
      </w:r>
    </w:p>
    <w:p w14:paraId="06F7DC4E" w14:textId="77777777" w:rsidR="00C90FEC" w:rsidRPr="00C90FEC" w:rsidRDefault="00C90FEC" w:rsidP="00C90F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Inventory coverage (weeks of supply)</w:t>
      </w:r>
    </w:p>
    <w:p w14:paraId="6DCB3FED" w14:textId="77777777" w:rsidR="00C90FEC" w:rsidRPr="00C90FEC" w:rsidRDefault="00C90FEC" w:rsidP="00C90F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Vendor geographic concentration (risk of regional disruption)</w:t>
      </w:r>
    </w:p>
    <w:p w14:paraId="29604BA7" w14:textId="77777777" w:rsidR="00C90FEC" w:rsidRPr="00C90FEC" w:rsidRDefault="00C90FEC" w:rsidP="00C90F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Tariff / export control exposure by project</w:t>
      </w:r>
    </w:p>
    <w:p w14:paraId="6E43165D" w14:textId="77777777" w:rsidR="00C90FEC" w:rsidRPr="00C90FEC" w:rsidRDefault="00C90FEC" w:rsidP="00C90F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Visualization:</w:t>
      </w:r>
    </w:p>
    <w:p w14:paraId="1EBDDFAE" w14:textId="77777777" w:rsidR="00C90FEC" w:rsidRPr="00C90FEC" w:rsidRDefault="00C90FEC" w:rsidP="00C90F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 chart of top 10 components with highest delay risk</w:t>
      </w:r>
    </w:p>
    <w:p w14:paraId="753ACD48" w14:textId="77777777" w:rsidR="00C90FEC" w:rsidRPr="00C90FEC" w:rsidRDefault="00C90FEC" w:rsidP="00C90F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Heatmap of suppliers by region and fragility score</w:t>
      </w:r>
    </w:p>
    <w:p w14:paraId="6BE23066" w14:textId="77777777" w:rsidR="00C90FEC" w:rsidRPr="00C90FEC" w:rsidRDefault="009D71B3" w:rsidP="00C90F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1B3">
        <w:rPr>
          <w:rFonts w:ascii="Times New Roman" w:eastAsia="Times New Roman" w:hAnsi="Times New Roman" w:cs="Times New Roman"/>
          <w:noProof/>
          <w:kern w:val="0"/>
        </w:rPr>
        <w:pict w14:anchorId="01E42052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5F67B2D0" w14:textId="0EE0203D" w:rsidR="00C90FEC" w:rsidRPr="00C90FEC" w:rsidRDefault="00C90FEC" w:rsidP="00C90F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Deep Dive &amp; Mitigation Actions</w:t>
      </w:r>
    </w:p>
    <w:p w14:paraId="2843B5D9" w14:textId="77777777" w:rsidR="00C90FEC" w:rsidRPr="00C90FEC" w:rsidRDefault="00C90FEC" w:rsidP="00C90F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4. Project-Specific Insights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1800"/>
        <w:gridCol w:w="1742"/>
        <w:gridCol w:w="2063"/>
        <w:gridCol w:w="1154"/>
        <w:gridCol w:w="1495"/>
      </w:tblGrid>
      <w:tr w:rsidR="00C90FEC" w:rsidRPr="00C90FEC" w14:paraId="77D4E98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A408F8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Initiative</w:t>
            </w:r>
          </w:p>
        </w:tc>
        <w:tc>
          <w:tcPr>
            <w:tcW w:w="0" w:type="auto"/>
            <w:vAlign w:val="center"/>
            <w:hideMark/>
          </w:tcPr>
          <w:p w14:paraId="57F8E257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Supply Chain Challenge</w:t>
            </w:r>
          </w:p>
        </w:tc>
        <w:tc>
          <w:tcPr>
            <w:tcW w:w="0" w:type="auto"/>
            <w:vAlign w:val="center"/>
            <w:hideMark/>
          </w:tcPr>
          <w:p w14:paraId="0210120E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Root Cause</w:t>
            </w:r>
          </w:p>
        </w:tc>
        <w:tc>
          <w:tcPr>
            <w:tcW w:w="0" w:type="auto"/>
            <w:vAlign w:val="center"/>
            <w:hideMark/>
          </w:tcPr>
          <w:p w14:paraId="3D914C86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Action Taken</w:t>
            </w:r>
          </w:p>
        </w:tc>
        <w:tc>
          <w:tcPr>
            <w:tcW w:w="0" w:type="auto"/>
            <w:vAlign w:val="center"/>
            <w:hideMark/>
          </w:tcPr>
          <w:p w14:paraId="0A317552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266E7D98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Expected Impact</w:t>
            </w:r>
          </w:p>
        </w:tc>
      </w:tr>
      <w:tr w:rsidR="00C90FEC" w:rsidRPr="00C90FEC" w14:paraId="1A7179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02B40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Product X</w:t>
            </w:r>
          </w:p>
        </w:tc>
        <w:tc>
          <w:tcPr>
            <w:tcW w:w="0" w:type="auto"/>
            <w:vAlign w:val="center"/>
            <w:hideMark/>
          </w:tcPr>
          <w:p w14:paraId="0D58011B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Semiconductor shortage</w:t>
            </w:r>
          </w:p>
        </w:tc>
        <w:tc>
          <w:tcPr>
            <w:tcW w:w="0" w:type="auto"/>
            <w:vAlign w:val="center"/>
            <w:hideMark/>
          </w:tcPr>
          <w:p w14:paraId="042F2DE5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Limited US suppliers</w:t>
            </w:r>
          </w:p>
        </w:tc>
        <w:tc>
          <w:tcPr>
            <w:tcW w:w="0" w:type="auto"/>
            <w:vAlign w:val="center"/>
            <w:hideMark/>
          </w:tcPr>
          <w:p w14:paraId="21006FCD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Alternative supplier + design modularity</w:t>
            </w:r>
          </w:p>
        </w:tc>
        <w:tc>
          <w:tcPr>
            <w:tcW w:w="0" w:type="auto"/>
            <w:vAlign w:val="center"/>
            <w:hideMark/>
          </w:tcPr>
          <w:p w14:paraId="28CDDB7F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On track</w:t>
            </w:r>
          </w:p>
        </w:tc>
        <w:tc>
          <w:tcPr>
            <w:tcW w:w="0" w:type="auto"/>
            <w:vAlign w:val="center"/>
            <w:hideMark/>
          </w:tcPr>
          <w:p w14:paraId="7C6A70AC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Mitigates 80% of delay risk</w:t>
            </w:r>
          </w:p>
        </w:tc>
      </w:tr>
      <w:tr w:rsidR="00C90FEC" w:rsidRPr="00C90FEC" w14:paraId="27C52A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C2B9B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IoT Platform</w:t>
            </w:r>
          </w:p>
        </w:tc>
        <w:tc>
          <w:tcPr>
            <w:tcW w:w="0" w:type="auto"/>
            <w:vAlign w:val="center"/>
            <w:hideMark/>
          </w:tcPr>
          <w:p w14:paraId="35617FAC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PCB assembly delay</w:t>
            </w:r>
          </w:p>
        </w:tc>
        <w:tc>
          <w:tcPr>
            <w:tcW w:w="0" w:type="auto"/>
            <w:vAlign w:val="center"/>
            <w:hideMark/>
          </w:tcPr>
          <w:p w14:paraId="786BC352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Shipping constraints</w:t>
            </w:r>
          </w:p>
        </w:tc>
        <w:tc>
          <w:tcPr>
            <w:tcW w:w="0" w:type="auto"/>
            <w:vAlign w:val="center"/>
            <w:hideMark/>
          </w:tcPr>
          <w:p w14:paraId="593118D3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Nearshore contract manufacturer</w:t>
            </w:r>
          </w:p>
        </w:tc>
        <w:tc>
          <w:tcPr>
            <w:tcW w:w="0" w:type="auto"/>
            <w:vAlign w:val="center"/>
            <w:hideMark/>
          </w:tcPr>
          <w:p w14:paraId="4B92300B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 risk</w:t>
            </w:r>
          </w:p>
        </w:tc>
        <w:tc>
          <w:tcPr>
            <w:tcW w:w="0" w:type="auto"/>
            <w:vAlign w:val="center"/>
            <w:hideMark/>
          </w:tcPr>
          <w:p w14:paraId="4249E439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2-week delay projected</w:t>
            </w:r>
          </w:p>
        </w:tc>
      </w:tr>
      <w:tr w:rsidR="00C90FEC" w:rsidRPr="00C90FEC" w14:paraId="7A5471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ABCD8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Battery R&amp;D</w:t>
            </w:r>
          </w:p>
        </w:tc>
        <w:tc>
          <w:tcPr>
            <w:tcW w:w="0" w:type="auto"/>
            <w:vAlign w:val="center"/>
            <w:hideMark/>
          </w:tcPr>
          <w:p w14:paraId="1B2B8B5B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Lithium scarcity</w:t>
            </w:r>
          </w:p>
        </w:tc>
        <w:tc>
          <w:tcPr>
            <w:tcW w:w="0" w:type="auto"/>
            <w:vAlign w:val="center"/>
            <w:hideMark/>
          </w:tcPr>
          <w:p w14:paraId="708DD036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Geopolitical export restrictions</w:t>
            </w:r>
          </w:p>
        </w:tc>
        <w:tc>
          <w:tcPr>
            <w:tcW w:w="0" w:type="auto"/>
            <w:vAlign w:val="center"/>
            <w:hideMark/>
          </w:tcPr>
          <w:p w14:paraId="0B79A3A1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Local supplier partnership</w:t>
            </w:r>
          </w:p>
        </w:tc>
        <w:tc>
          <w:tcPr>
            <w:tcW w:w="0" w:type="auto"/>
            <w:vAlign w:val="center"/>
            <w:hideMark/>
          </w:tcPr>
          <w:p w14:paraId="5486FC47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Monitoring</w:t>
            </w:r>
          </w:p>
        </w:tc>
        <w:tc>
          <w:tcPr>
            <w:tcW w:w="0" w:type="auto"/>
            <w:vAlign w:val="center"/>
            <w:hideMark/>
          </w:tcPr>
          <w:p w14:paraId="598910C0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Potential cost increase</w:t>
            </w:r>
          </w:p>
        </w:tc>
      </w:tr>
    </w:tbl>
    <w:p w14:paraId="148902AF" w14:textId="77777777" w:rsidR="00C90FEC" w:rsidRPr="00C90FEC" w:rsidRDefault="009D71B3" w:rsidP="00C90F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1B3">
        <w:rPr>
          <w:rFonts w:ascii="Times New Roman" w:eastAsia="Times New Roman" w:hAnsi="Times New Roman" w:cs="Times New Roman"/>
          <w:noProof/>
          <w:kern w:val="0"/>
        </w:rPr>
        <w:lastRenderedPageBreak/>
        <w:pict w14:anchorId="71107833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6738BF06" w14:textId="77777777" w:rsidR="00C90FEC" w:rsidRPr="00C90FEC" w:rsidRDefault="00C90FEC" w:rsidP="00C90F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5. Strategic Actions to Mitigate Supply Chain Risk</w:t>
      </w:r>
    </w:p>
    <w:p w14:paraId="07054604" w14:textId="77777777" w:rsidR="00C90FEC" w:rsidRPr="00C90FEC" w:rsidRDefault="00C90FEC" w:rsidP="00C90F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Alternative Sourcing: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Identify and qualify at least 2 secondary suppliers per high-risk component.</w:t>
      </w:r>
    </w:p>
    <w:p w14:paraId="705BAC17" w14:textId="77777777" w:rsidR="00C90FEC" w:rsidRPr="00C90FEC" w:rsidRDefault="00C90FEC" w:rsidP="00C90F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Inventory Strategy: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Increase critical component buffer stocks for high-risk programs.</w:t>
      </w:r>
    </w:p>
    <w:p w14:paraId="07E5E7BE" w14:textId="77777777" w:rsidR="00C90FEC" w:rsidRPr="00C90FEC" w:rsidRDefault="00C90FEC" w:rsidP="00C90F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Design Flexibility: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Modularize products to allow substitution of constrained components.</w:t>
      </w:r>
    </w:p>
    <w:p w14:paraId="19F82164" w14:textId="77777777" w:rsidR="00C90FEC" w:rsidRPr="00C90FEC" w:rsidRDefault="00C90FEC" w:rsidP="00C90F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Supplier Collaboration: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Work with vendors on long-term forecasting, joint inventory, and risk-sharing agreements.</w:t>
      </w:r>
    </w:p>
    <w:p w14:paraId="5F25CA19" w14:textId="77777777" w:rsidR="00C90FEC" w:rsidRPr="00C90FEC" w:rsidRDefault="00C90FEC" w:rsidP="00C90F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Scenario Planning: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Model project timelines under different supply disruption scenarios.</w:t>
      </w:r>
    </w:p>
    <w:p w14:paraId="47C719F1" w14:textId="77777777" w:rsidR="00C90FEC" w:rsidRPr="00C90FEC" w:rsidRDefault="009D71B3" w:rsidP="00C90F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1B3">
        <w:rPr>
          <w:rFonts w:ascii="Times New Roman" w:eastAsia="Times New Roman" w:hAnsi="Times New Roman" w:cs="Times New Roman"/>
          <w:noProof/>
          <w:kern w:val="0"/>
        </w:rPr>
        <w:pict w14:anchorId="4C01E954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C3B0BDE" w14:textId="77777777" w:rsidR="00C90FEC" w:rsidRPr="00C90FEC" w:rsidRDefault="00C90FEC" w:rsidP="00C90F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6. Emerging Opportunities</w:t>
      </w:r>
    </w:p>
    <w:p w14:paraId="40430AE8" w14:textId="77777777" w:rsidR="00C90FEC" w:rsidRPr="00C90FEC" w:rsidRDefault="00C90FEC" w:rsidP="00C90F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Leverage supply fragility to </w:t>
      </w: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accelerate digital twin simulations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for supply risk modeling.</w:t>
      </w:r>
    </w:p>
    <w:p w14:paraId="67063627" w14:textId="77777777" w:rsidR="00C90FEC" w:rsidRPr="00C90FEC" w:rsidRDefault="00C90FEC" w:rsidP="00C90F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Partner with local/regional suppliers to reduce dependency and gain first-mover advantage.</w:t>
      </w:r>
    </w:p>
    <w:p w14:paraId="74586822" w14:textId="77777777" w:rsidR="00C90FEC" w:rsidRPr="00C90FEC" w:rsidRDefault="00C90FEC" w:rsidP="00C90F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Explore </w:t>
      </w: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sustainable or alternative materials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to reduce reliance on constrained resources.</w:t>
      </w:r>
    </w:p>
    <w:p w14:paraId="7E9FC4C1" w14:textId="77777777" w:rsidR="00C90FEC" w:rsidRPr="00C90FEC" w:rsidRDefault="009D71B3" w:rsidP="00C90F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1B3">
        <w:rPr>
          <w:rFonts w:ascii="Times New Roman" w:eastAsia="Times New Roman" w:hAnsi="Times New Roman" w:cs="Times New Roman"/>
          <w:noProof/>
          <w:kern w:val="0"/>
        </w:rPr>
        <w:pict w14:anchorId="1C9A060E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524C093D" w14:textId="77777777" w:rsidR="00C90FEC" w:rsidRPr="00C90FEC" w:rsidRDefault="00C90FEC" w:rsidP="00C90F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7. Next Steps &amp; Action Items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9"/>
        <w:gridCol w:w="4292"/>
        <w:gridCol w:w="1154"/>
        <w:gridCol w:w="1175"/>
      </w:tblGrid>
      <w:tr w:rsidR="00C90FEC" w:rsidRPr="00C90FEC" w14:paraId="6937B42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0B3D01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Owner</w:t>
            </w:r>
          </w:p>
        </w:tc>
        <w:tc>
          <w:tcPr>
            <w:tcW w:w="0" w:type="auto"/>
            <w:vAlign w:val="center"/>
            <w:hideMark/>
          </w:tcPr>
          <w:p w14:paraId="2C303305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Action</w:t>
            </w:r>
          </w:p>
        </w:tc>
        <w:tc>
          <w:tcPr>
            <w:tcW w:w="0" w:type="auto"/>
            <w:vAlign w:val="center"/>
            <w:hideMark/>
          </w:tcPr>
          <w:p w14:paraId="5022109F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Due Date</w:t>
            </w:r>
          </w:p>
        </w:tc>
        <w:tc>
          <w:tcPr>
            <w:tcW w:w="0" w:type="auto"/>
            <w:vAlign w:val="center"/>
            <w:hideMark/>
          </w:tcPr>
          <w:p w14:paraId="45E47A61" w14:textId="77777777" w:rsidR="00C90FEC" w:rsidRPr="00C90FEC" w:rsidRDefault="00C90FEC" w:rsidP="00C9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Status</w:t>
            </w:r>
          </w:p>
        </w:tc>
      </w:tr>
      <w:tr w:rsidR="00C90FEC" w:rsidRPr="00C90FEC" w14:paraId="71B625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8137E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CIO</w:t>
            </w:r>
          </w:p>
        </w:tc>
        <w:tc>
          <w:tcPr>
            <w:tcW w:w="0" w:type="auto"/>
            <w:vAlign w:val="center"/>
            <w:hideMark/>
          </w:tcPr>
          <w:p w14:paraId="65E086E3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Approve supplier diversification plan</w:t>
            </w:r>
          </w:p>
        </w:tc>
        <w:tc>
          <w:tcPr>
            <w:tcW w:w="0" w:type="auto"/>
            <w:vAlign w:val="center"/>
            <w:hideMark/>
          </w:tcPr>
          <w:p w14:paraId="71A3A28E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12/20/2025</w:t>
            </w:r>
          </w:p>
        </w:tc>
        <w:tc>
          <w:tcPr>
            <w:tcW w:w="0" w:type="auto"/>
            <w:vAlign w:val="center"/>
            <w:hideMark/>
          </w:tcPr>
          <w:p w14:paraId="2DA01799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Pending</w:t>
            </w:r>
          </w:p>
        </w:tc>
      </w:tr>
      <w:tr w:rsidR="00C90FEC" w:rsidRPr="00C90FEC" w14:paraId="15830C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1D537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Supply Chain Lead</w:t>
            </w:r>
          </w:p>
        </w:tc>
        <w:tc>
          <w:tcPr>
            <w:tcW w:w="0" w:type="auto"/>
            <w:vAlign w:val="center"/>
            <w:hideMark/>
          </w:tcPr>
          <w:p w14:paraId="53ED82DC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Map top 50 critical components</w:t>
            </w:r>
          </w:p>
        </w:tc>
        <w:tc>
          <w:tcPr>
            <w:tcW w:w="0" w:type="auto"/>
            <w:vAlign w:val="center"/>
            <w:hideMark/>
          </w:tcPr>
          <w:p w14:paraId="59C210B4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12/15/2025</w:t>
            </w:r>
          </w:p>
        </w:tc>
        <w:tc>
          <w:tcPr>
            <w:tcW w:w="0" w:type="auto"/>
            <w:vAlign w:val="center"/>
            <w:hideMark/>
          </w:tcPr>
          <w:p w14:paraId="0507C0FB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 Progress</w:t>
            </w:r>
          </w:p>
        </w:tc>
      </w:tr>
      <w:tr w:rsidR="00C90FEC" w:rsidRPr="00C90FEC" w14:paraId="0F06E6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D7BCA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R&amp;D Director</w:t>
            </w:r>
          </w:p>
        </w:tc>
        <w:tc>
          <w:tcPr>
            <w:tcW w:w="0" w:type="auto"/>
            <w:vAlign w:val="center"/>
            <w:hideMark/>
          </w:tcPr>
          <w:p w14:paraId="51D2E440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Evaluate alternative materials for Product X</w:t>
            </w:r>
          </w:p>
        </w:tc>
        <w:tc>
          <w:tcPr>
            <w:tcW w:w="0" w:type="auto"/>
            <w:vAlign w:val="center"/>
            <w:hideMark/>
          </w:tcPr>
          <w:p w14:paraId="228B4C5C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01/10/2026</w:t>
            </w:r>
          </w:p>
        </w:tc>
        <w:tc>
          <w:tcPr>
            <w:tcW w:w="0" w:type="auto"/>
            <w:vAlign w:val="center"/>
            <w:hideMark/>
          </w:tcPr>
          <w:p w14:paraId="54FD287B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Not Started</w:t>
            </w:r>
          </w:p>
        </w:tc>
      </w:tr>
      <w:tr w:rsidR="00C90FEC" w:rsidRPr="00C90FEC" w14:paraId="551F76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EF0B8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Digital / IT</w:t>
            </w:r>
          </w:p>
        </w:tc>
        <w:tc>
          <w:tcPr>
            <w:tcW w:w="0" w:type="auto"/>
            <w:vAlign w:val="center"/>
            <w:hideMark/>
          </w:tcPr>
          <w:p w14:paraId="36259245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Build supply-chain disruption dashboard</w:t>
            </w:r>
          </w:p>
        </w:tc>
        <w:tc>
          <w:tcPr>
            <w:tcW w:w="0" w:type="auto"/>
            <w:vAlign w:val="center"/>
            <w:hideMark/>
          </w:tcPr>
          <w:p w14:paraId="5A692939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12/30/2025</w:t>
            </w:r>
          </w:p>
        </w:tc>
        <w:tc>
          <w:tcPr>
            <w:tcW w:w="0" w:type="auto"/>
            <w:vAlign w:val="center"/>
            <w:hideMark/>
          </w:tcPr>
          <w:p w14:paraId="0F5F467A" w14:textId="77777777" w:rsidR="00C90FEC" w:rsidRPr="00C90FEC" w:rsidRDefault="00C90FEC" w:rsidP="00C90F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90FE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 Progress</w:t>
            </w:r>
          </w:p>
        </w:tc>
      </w:tr>
    </w:tbl>
    <w:p w14:paraId="331EB248" w14:textId="77777777" w:rsidR="00C90FEC" w:rsidRPr="00C90FEC" w:rsidRDefault="009D71B3" w:rsidP="00C90FE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D71B3">
        <w:rPr>
          <w:rFonts w:ascii="Times New Roman" w:eastAsia="Times New Roman" w:hAnsi="Times New Roman" w:cs="Times New Roman"/>
          <w:noProof/>
          <w:kern w:val="0"/>
        </w:rPr>
        <w:pict w14:anchorId="3CB65B88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BAA3306" w14:textId="77777777" w:rsidR="00C90FEC" w:rsidRPr="00C90FEC" w:rsidRDefault="00C90FEC" w:rsidP="00C90F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8. Risk &amp; Escalation Summary</w:t>
      </w:r>
    </w:p>
    <w:p w14:paraId="0B742FDF" w14:textId="77777777" w:rsidR="00C90FEC" w:rsidRPr="00C90FEC" w:rsidRDefault="00C90FEC" w:rsidP="00C90F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High-risk programs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[List 2–3]</w:t>
      </w:r>
    </w:p>
    <w:p w14:paraId="035D2474" w14:textId="77777777" w:rsidR="00C90FEC" w:rsidRPr="00C90FEC" w:rsidRDefault="00C90FEC" w:rsidP="00C90F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Potential delays next quarter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[List impact in weeks/cost]</w:t>
      </w:r>
    </w:p>
    <w:p w14:paraId="274C3096" w14:textId="77777777" w:rsidR="00C90FEC" w:rsidRPr="00C90FEC" w:rsidRDefault="00C90FEC" w:rsidP="00C90FE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90FE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Escalation needed to Executive Committee</w:t>
      </w:r>
      <w:r w:rsidRPr="00C90FE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Yes / No</w:t>
      </w:r>
    </w:p>
    <w:p w14:paraId="55A67242" w14:textId="30F0B80B" w:rsidR="00AC1E70" w:rsidRPr="00AC1E70" w:rsidRDefault="00AC1E70" w:rsidP="00AC1E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sectPr w:rsidR="00AC1E70" w:rsidRPr="00AC1E70" w:rsidSect="00BB54D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4A3D4" w14:textId="77777777" w:rsidR="009D71B3" w:rsidRDefault="009D71B3" w:rsidP="00B07844">
      <w:pPr>
        <w:spacing w:after="0" w:line="240" w:lineRule="auto"/>
      </w:pPr>
      <w:r>
        <w:separator/>
      </w:r>
    </w:p>
  </w:endnote>
  <w:endnote w:type="continuationSeparator" w:id="0">
    <w:p w14:paraId="1289244E" w14:textId="77777777" w:rsidR="009D71B3" w:rsidRDefault="009D71B3" w:rsidP="00B0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18190" w14:textId="7CE0ECB0" w:rsidR="00B07844" w:rsidRPr="00B07844" w:rsidRDefault="00B07844" w:rsidP="00B07844">
    <w:pPr>
      <w:pStyle w:val="Footer"/>
      <w:jc w:val="center"/>
      <w:rPr>
        <w:rFonts w:asciiTheme="minorBidi" w:hAnsiTheme="minorBidi"/>
        <w:sz w:val="14"/>
        <w:szCs w:val="14"/>
      </w:rPr>
    </w:pPr>
    <w:r w:rsidRPr="00B07844">
      <w:rPr>
        <w:rFonts w:asciiTheme="minorBidi" w:hAnsiTheme="minorBidi"/>
        <w:sz w:val="14"/>
        <w:szCs w:val="14"/>
      </w:rPr>
      <w:t>Copyright InnoLead 2025. InnoLead members have right to adapt and utilize internally. Do not post or distribute externally.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D3D3" w14:textId="77777777" w:rsidR="009D71B3" w:rsidRDefault="009D71B3" w:rsidP="00B07844">
      <w:pPr>
        <w:spacing w:after="0" w:line="240" w:lineRule="auto"/>
      </w:pPr>
      <w:r>
        <w:separator/>
      </w:r>
    </w:p>
  </w:footnote>
  <w:footnote w:type="continuationSeparator" w:id="0">
    <w:p w14:paraId="11016561" w14:textId="77777777" w:rsidR="009D71B3" w:rsidRDefault="009D71B3" w:rsidP="00B07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E2584"/>
    <w:multiLevelType w:val="multilevel"/>
    <w:tmpl w:val="F2AC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8376E"/>
    <w:multiLevelType w:val="multilevel"/>
    <w:tmpl w:val="8A0A0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9B6A0E"/>
    <w:multiLevelType w:val="multilevel"/>
    <w:tmpl w:val="C61C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11A72"/>
    <w:multiLevelType w:val="multilevel"/>
    <w:tmpl w:val="7AB85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464ECA"/>
    <w:multiLevelType w:val="multilevel"/>
    <w:tmpl w:val="BEA0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4B128E"/>
    <w:multiLevelType w:val="multilevel"/>
    <w:tmpl w:val="1BFCE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970241"/>
    <w:multiLevelType w:val="multilevel"/>
    <w:tmpl w:val="5F40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604804"/>
    <w:multiLevelType w:val="multilevel"/>
    <w:tmpl w:val="F422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885205"/>
    <w:multiLevelType w:val="multilevel"/>
    <w:tmpl w:val="853CE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352839">
    <w:abstractNumId w:val="8"/>
  </w:num>
  <w:num w:numId="2" w16cid:durableId="358554705">
    <w:abstractNumId w:val="1"/>
  </w:num>
  <w:num w:numId="3" w16cid:durableId="277955053">
    <w:abstractNumId w:val="3"/>
  </w:num>
  <w:num w:numId="4" w16cid:durableId="1834293484">
    <w:abstractNumId w:val="0"/>
  </w:num>
  <w:num w:numId="5" w16cid:durableId="1201437326">
    <w:abstractNumId w:val="2"/>
  </w:num>
  <w:num w:numId="6" w16cid:durableId="1417753312">
    <w:abstractNumId w:val="4"/>
  </w:num>
  <w:num w:numId="7" w16cid:durableId="467477542">
    <w:abstractNumId w:val="5"/>
  </w:num>
  <w:num w:numId="8" w16cid:durableId="355811513">
    <w:abstractNumId w:val="6"/>
  </w:num>
  <w:num w:numId="9" w16cid:durableId="11468168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70"/>
    <w:rsid w:val="001A632A"/>
    <w:rsid w:val="00254F67"/>
    <w:rsid w:val="00487290"/>
    <w:rsid w:val="005C31D3"/>
    <w:rsid w:val="00621C15"/>
    <w:rsid w:val="00904308"/>
    <w:rsid w:val="00963B52"/>
    <w:rsid w:val="009D4515"/>
    <w:rsid w:val="009D71B3"/>
    <w:rsid w:val="00AC1E70"/>
    <w:rsid w:val="00B07844"/>
    <w:rsid w:val="00BB54D5"/>
    <w:rsid w:val="00C62F0E"/>
    <w:rsid w:val="00C74326"/>
    <w:rsid w:val="00C90FEC"/>
    <w:rsid w:val="00CA35AE"/>
    <w:rsid w:val="00F8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6307D"/>
  <w15:chartTrackingRefBased/>
  <w15:docId w15:val="{F8FFB3A9-8DC1-DF4E-B6B0-DD843ACA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1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1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1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C1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E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E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E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E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E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E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E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E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E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E7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C1E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1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7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844"/>
  </w:style>
  <w:style w:type="paragraph" w:styleId="Footer">
    <w:name w:val="footer"/>
    <w:basedOn w:val="Normal"/>
    <w:link w:val="FooterChar"/>
    <w:uiPriority w:val="99"/>
    <w:unhideWhenUsed/>
    <w:rsid w:val="00B078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844"/>
  </w:style>
  <w:style w:type="character" w:customStyle="1" w:styleId="apple-converted-space">
    <w:name w:val="apple-converted-space"/>
    <w:basedOn w:val="DefaultParagraphFont"/>
    <w:rsid w:val="00C90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Cohen</dc:creator>
  <cp:keywords/>
  <dc:description/>
  <cp:lastModifiedBy>Scott Cohen</cp:lastModifiedBy>
  <cp:revision>3</cp:revision>
  <dcterms:created xsi:type="dcterms:W3CDTF">2025-12-02T14:00:00Z</dcterms:created>
  <dcterms:modified xsi:type="dcterms:W3CDTF">2025-12-02T14:01:00Z</dcterms:modified>
</cp:coreProperties>
</file>